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BAD7" w14:textId="77777777" w:rsidR="008A1103" w:rsidRDefault="008A1103" w:rsidP="008A1103"/>
    <w:p w14:paraId="14C3E6AE" w14:textId="1857B763" w:rsidR="00AC1E6F" w:rsidRDefault="00AF5115" w:rsidP="00AF5115">
      <w:pPr>
        <w:pStyle w:val="Title"/>
        <w:rPr>
          <w:color w:val="183957"/>
          <w:sz w:val="36"/>
          <w:szCs w:val="36"/>
        </w:rPr>
      </w:pPr>
      <w:r w:rsidRPr="00AF5115">
        <w:rPr>
          <w:color w:val="183957"/>
          <w:sz w:val="36"/>
          <w:szCs w:val="36"/>
        </w:rPr>
        <w:t>Procedure for handling potential</w:t>
      </w:r>
      <w:r w:rsidR="00496466">
        <w:rPr>
          <w:color w:val="183957"/>
          <w:sz w:val="36"/>
          <w:szCs w:val="36"/>
        </w:rPr>
        <w:br/>
      </w:r>
      <w:r w:rsidRPr="00AF5115">
        <w:rPr>
          <w:color w:val="183957"/>
          <w:sz w:val="36"/>
          <w:szCs w:val="36"/>
        </w:rPr>
        <w:t>breaches</w:t>
      </w:r>
      <w:r w:rsidR="00496466">
        <w:rPr>
          <w:color w:val="183957"/>
          <w:sz w:val="36"/>
          <w:szCs w:val="36"/>
        </w:rPr>
        <w:t xml:space="preserve"> </w:t>
      </w:r>
      <w:r w:rsidRPr="00AF5115">
        <w:rPr>
          <w:color w:val="183957"/>
          <w:sz w:val="36"/>
          <w:szCs w:val="36"/>
        </w:rPr>
        <w:t>of the Australian Code for</w:t>
      </w:r>
      <w:r w:rsidR="00496466">
        <w:rPr>
          <w:color w:val="183957"/>
          <w:sz w:val="36"/>
          <w:szCs w:val="36"/>
        </w:rPr>
        <w:br/>
      </w:r>
      <w:r w:rsidRPr="00AF5115">
        <w:rPr>
          <w:color w:val="183957"/>
          <w:sz w:val="36"/>
          <w:szCs w:val="36"/>
        </w:rPr>
        <w:t>the Responsible Conduct of Research</w:t>
      </w:r>
    </w:p>
    <w:p w14:paraId="637C9806" w14:textId="3DE10D13" w:rsidR="00AF5115" w:rsidRDefault="00AF5115" w:rsidP="00AF5115">
      <w:pPr>
        <w:pStyle w:val="Subtitle"/>
        <w:rPr>
          <w:lang w:eastAsia="en-US"/>
        </w:rPr>
      </w:pPr>
    </w:p>
    <w:p w14:paraId="2158893D" w14:textId="77777777" w:rsidR="00AF5115" w:rsidRDefault="00AF5115" w:rsidP="00AF5115">
      <w:pPr>
        <w:pStyle w:val="Heading2"/>
      </w:pPr>
      <w:r>
        <w:t>Introduction</w:t>
      </w:r>
    </w:p>
    <w:p w14:paraId="5C959EBC" w14:textId="77777777" w:rsidR="00AF5115" w:rsidRPr="00AF5115" w:rsidRDefault="00AF5115" w:rsidP="00AF5115">
      <w:pPr>
        <w:rPr>
          <w:rFonts w:ascii="Calibri" w:hAnsi="Calibri" w:cs="Calibri"/>
        </w:rPr>
      </w:pPr>
      <w:r w:rsidRPr="00AF5115">
        <w:rPr>
          <w:rFonts w:ascii="Calibri" w:hAnsi="Calibri" w:cs="Calibri"/>
        </w:rPr>
        <w:t xml:space="preserve">Where concerns are raised or identified relating to the conduct of Forensic and Scientific Services (FSS) and Pathology Queensland (PQ) research or researchers, these will be managed in accordance with the </w:t>
      </w:r>
      <w:r w:rsidRPr="00AF5115">
        <w:rPr>
          <w:rFonts w:ascii="Calibri" w:hAnsi="Calibri" w:cs="Calibri"/>
          <w:i/>
        </w:rPr>
        <w:t>Australian Code for the Responsible Conduct of Research</w:t>
      </w:r>
      <w:r w:rsidRPr="00AF5115">
        <w:rPr>
          <w:rFonts w:ascii="Calibri" w:hAnsi="Calibri" w:cs="Calibri"/>
        </w:rPr>
        <w:t xml:space="preserve"> (the Code) and the NHMRC </w:t>
      </w:r>
      <w:r w:rsidRPr="00AF5115">
        <w:rPr>
          <w:rFonts w:ascii="Calibri" w:hAnsi="Calibri" w:cs="Calibri"/>
          <w:i/>
          <w:iCs/>
        </w:rPr>
        <w:t>Guide to managing potential breaches of the Code for the Responsible Conduct of Research</w:t>
      </w:r>
      <w:r w:rsidRPr="00AF5115">
        <w:rPr>
          <w:rFonts w:ascii="Calibri" w:hAnsi="Calibri" w:cs="Calibri"/>
        </w:rPr>
        <w:t xml:space="preserve"> (the Guide).</w:t>
      </w:r>
    </w:p>
    <w:p w14:paraId="72F76743" w14:textId="77777777" w:rsidR="00AF5115" w:rsidRDefault="00AF5115" w:rsidP="00AF5115">
      <w:pPr>
        <w:pStyle w:val="Heading2"/>
      </w:pPr>
      <w:r>
        <w:t>Background</w:t>
      </w:r>
    </w:p>
    <w:p w14:paraId="184174CC" w14:textId="77777777" w:rsidR="00AF5115" w:rsidRPr="00AF5115" w:rsidRDefault="00AF5115" w:rsidP="00AF5115">
      <w:pPr>
        <w:pStyle w:val="BodyText"/>
        <w:rPr>
          <w:rFonts w:ascii="Calibri" w:hAnsi="Calibri" w:cs="Calibri"/>
        </w:rPr>
      </w:pPr>
      <w:r w:rsidRPr="00AF5115">
        <w:rPr>
          <w:rFonts w:ascii="Calibri" w:hAnsi="Calibri" w:cs="Calibri"/>
        </w:rPr>
        <w:t xml:space="preserve">The Code describes the principles and practices of responsible conduct of research for institutions and researchers. </w:t>
      </w:r>
    </w:p>
    <w:p w14:paraId="222A688A" w14:textId="77777777" w:rsidR="00AF5115" w:rsidRPr="00AF5115" w:rsidRDefault="00AF5115" w:rsidP="00AF5115">
      <w:pPr>
        <w:pStyle w:val="BodyText"/>
        <w:rPr>
          <w:rFonts w:ascii="Calibri" w:hAnsi="Calibri" w:cs="Calibri"/>
        </w:rPr>
      </w:pPr>
      <w:r w:rsidRPr="00AF5115">
        <w:rPr>
          <w:rFonts w:ascii="Calibri" w:hAnsi="Calibri" w:cs="Calibri"/>
        </w:rPr>
        <w:t>The Guide provides a framework for investigating and addressing potential breaches of the Code.</w:t>
      </w:r>
    </w:p>
    <w:p w14:paraId="4FF932F9" w14:textId="77777777" w:rsidR="00AF5115" w:rsidRPr="00AF5115" w:rsidRDefault="00AF5115" w:rsidP="00AF5115">
      <w:pPr>
        <w:pStyle w:val="BodyText"/>
        <w:rPr>
          <w:rFonts w:ascii="Calibri" w:hAnsi="Calibri" w:cs="Calibri"/>
        </w:rPr>
      </w:pPr>
      <w:r w:rsidRPr="00AF5115">
        <w:rPr>
          <w:rFonts w:ascii="Calibri" w:hAnsi="Calibri" w:cs="Calibri"/>
        </w:rPr>
        <w:t>All FSS and PQ research must demonstrate the principles of good research practice:</w:t>
      </w:r>
    </w:p>
    <w:p w14:paraId="2625672E" w14:textId="77777777" w:rsidR="00AF5115" w:rsidRPr="00AF5115" w:rsidRDefault="00AF5115" w:rsidP="00AF5115">
      <w:pPr>
        <w:pStyle w:val="BodyText"/>
        <w:numPr>
          <w:ilvl w:val="0"/>
          <w:numId w:val="33"/>
        </w:numPr>
        <w:rPr>
          <w:rFonts w:ascii="Calibri" w:hAnsi="Calibri" w:cs="Calibri"/>
        </w:rPr>
      </w:pPr>
      <w:r w:rsidRPr="00AF5115">
        <w:rPr>
          <w:rFonts w:ascii="Calibri" w:hAnsi="Calibri" w:cs="Calibri"/>
        </w:rPr>
        <w:t>honesty and integrity</w:t>
      </w:r>
    </w:p>
    <w:p w14:paraId="03F418B2" w14:textId="77777777" w:rsidR="00AF5115" w:rsidRPr="00AF5115" w:rsidRDefault="00AF5115" w:rsidP="00AF5115">
      <w:pPr>
        <w:pStyle w:val="BodyText"/>
        <w:numPr>
          <w:ilvl w:val="0"/>
          <w:numId w:val="33"/>
        </w:numPr>
        <w:rPr>
          <w:rFonts w:ascii="Calibri" w:hAnsi="Calibri" w:cs="Calibri"/>
        </w:rPr>
      </w:pPr>
      <w:r w:rsidRPr="00AF5115">
        <w:rPr>
          <w:rFonts w:ascii="Calibri" w:hAnsi="Calibri" w:cs="Calibri"/>
        </w:rPr>
        <w:t>respect for human research participants, animals and the environment</w:t>
      </w:r>
    </w:p>
    <w:p w14:paraId="466414FE" w14:textId="77777777" w:rsidR="00AF5115" w:rsidRPr="00AF5115" w:rsidRDefault="00AF5115" w:rsidP="00AF5115">
      <w:pPr>
        <w:pStyle w:val="BodyText"/>
        <w:numPr>
          <w:ilvl w:val="0"/>
          <w:numId w:val="33"/>
        </w:numPr>
        <w:rPr>
          <w:rFonts w:ascii="Calibri" w:hAnsi="Calibri" w:cs="Calibri"/>
        </w:rPr>
      </w:pPr>
      <w:r w:rsidRPr="00AF5115">
        <w:rPr>
          <w:rFonts w:ascii="Calibri" w:hAnsi="Calibri" w:cs="Calibri"/>
        </w:rPr>
        <w:t>good stewardship of public resources used to conduct research</w:t>
      </w:r>
    </w:p>
    <w:p w14:paraId="0886342F" w14:textId="77777777" w:rsidR="00AF5115" w:rsidRPr="00AF5115" w:rsidRDefault="00AF5115" w:rsidP="00AF5115">
      <w:pPr>
        <w:pStyle w:val="BodyText"/>
        <w:numPr>
          <w:ilvl w:val="0"/>
          <w:numId w:val="33"/>
        </w:numPr>
        <w:rPr>
          <w:rFonts w:ascii="Calibri" w:hAnsi="Calibri" w:cs="Calibri"/>
        </w:rPr>
      </w:pPr>
      <w:r w:rsidRPr="00AF5115">
        <w:rPr>
          <w:rFonts w:ascii="Calibri" w:hAnsi="Calibri" w:cs="Calibri"/>
        </w:rPr>
        <w:t>appropriate acknowledgement of the role of others in research</w:t>
      </w:r>
    </w:p>
    <w:p w14:paraId="1F8CB5BC" w14:textId="77777777" w:rsidR="00AF5115" w:rsidRPr="00AF5115" w:rsidRDefault="00AF5115" w:rsidP="00AF5115">
      <w:pPr>
        <w:pStyle w:val="BodyText"/>
        <w:numPr>
          <w:ilvl w:val="0"/>
          <w:numId w:val="33"/>
        </w:numPr>
        <w:rPr>
          <w:rFonts w:ascii="Calibri" w:hAnsi="Calibri" w:cs="Calibri"/>
        </w:rPr>
      </w:pPr>
      <w:r w:rsidRPr="00AF5115">
        <w:rPr>
          <w:rFonts w:ascii="Calibri" w:hAnsi="Calibri" w:cs="Calibri"/>
        </w:rPr>
        <w:t>responsible communication of research results.</w:t>
      </w:r>
    </w:p>
    <w:p w14:paraId="7424ABC9" w14:textId="77777777" w:rsidR="00AF5115" w:rsidRDefault="00AF5115" w:rsidP="00AF5115">
      <w:pPr>
        <w:pStyle w:val="Heading2"/>
      </w:pPr>
      <w:r>
        <w:t>Scope</w:t>
      </w:r>
    </w:p>
    <w:p w14:paraId="3DDF2A97" w14:textId="77777777" w:rsidR="00AF5115" w:rsidRPr="00AF5115" w:rsidRDefault="00AF5115" w:rsidP="00AF5115">
      <w:pPr>
        <w:pStyle w:val="BodyText"/>
        <w:rPr>
          <w:rFonts w:ascii="Calibri" w:hAnsi="Calibri" w:cs="Calibri"/>
        </w:rPr>
      </w:pPr>
      <w:r w:rsidRPr="00AF5115">
        <w:rPr>
          <w:rFonts w:ascii="Calibri" w:hAnsi="Calibri" w:cs="Calibri"/>
        </w:rPr>
        <w:t>This procedure applies to all FSS and PQ staff involved in the conduct, supervision or administration of research.</w:t>
      </w:r>
    </w:p>
    <w:p w14:paraId="3571C457" w14:textId="77777777" w:rsidR="00AF5115" w:rsidRPr="00AF5115" w:rsidRDefault="00AF5115" w:rsidP="00AF5115">
      <w:pPr>
        <w:pStyle w:val="BodyText"/>
        <w:rPr>
          <w:rFonts w:ascii="Calibri" w:hAnsi="Calibri" w:cs="Calibri"/>
        </w:rPr>
      </w:pPr>
      <w:r w:rsidRPr="00AF5115">
        <w:rPr>
          <w:rFonts w:ascii="Calibri" w:hAnsi="Calibri" w:cs="Calibri"/>
        </w:rPr>
        <w:t>FSS and PQ recognise that breaches range in severity from minor to serious misconduct. The organisational response will be guided by the severity of the breach.</w:t>
      </w:r>
    </w:p>
    <w:p w14:paraId="6885FD24" w14:textId="77777777" w:rsidR="00AF5115" w:rsidRPr="00AF5115" w:rsidRDefault="00AF5115" w:rsidP="00AF5115">
      <w:pPr>
        <w:pStyle w:val="BodyText"/>
        <w:rPr>
          <w:rFonts w:ascii="Calibri" w:hAnsi="Calibri" w:cs="Calibri"/>
        </w:rPr>
      </w:pPr>
      <w:r w:rsidRPr="00AF5115">
        <w:rPr>
          <w:rFonts w:ascii="Calibri" w:hAnsi="Calibri" w:cs="Calibri"/>
        </w:rPr>
        <w:t>If a preliminary assessment identifies that the severity of the breach is minor, the matter can generally be managed at the local level under the direction of the designated officer. In all other cases, the matter will be managed by the designated officer in accordance with this procedure, including escalating or referring the matter where appropriate.</w:t>
      </w:r>
    </w:p>
    <w:p w14:paraId="774D4F7A" w14:textId="77777777" w:rsidR="00AF5115" w:rsidRDefault="00AF5115" w:rsidP="00AF5115">
      <w:pPr>
        <w:pStyle w:val="Heading2"/>
      </w:pPr>
      <w:r>
        <w:br w:type="page"/>
      </w:r>
      <w:r>
        <w:lastRenderedPageBreak/>
        <w:t>Definitions</w:t>
      </w:r>
    </w:p>
    <w:tbl>
      <w:tblPr>
        <w:tblW w:w="10490" w:type="dxa"/>
        <w:tblInd w:w="108" w:type="dxa"/>
        <w:tblBorders>
          <w:insideH w:val="single" w:sz="12" w:space="0" w:color="FFFFFF"/>
          <w:insideV w:val="single" w:sz="12" w:space="0" w:color="FFFFFF"/>
        </w:tblBorders>
        <w:tblLook w:val="01E0" w:firstRow="1" w:lastRow="1" w:firstColumn="1" w:lastColumn="1" w:noHBand="0" w:noVBand="0"/>
      </w:tblPr>
      <w:tblGrid>
        <w:gridCol w:w="2063"/>
        <w:gridCol w:w="8427"/>
      </w:tblGrid>
      <w:tr w:rsidR="00AF5115" w:rsidRPr="0085318C" w14:paraId="29FAC612" w14:textId="77777777" w:rsidTr="00AF5115">
        <w:tc>
          <w:tcPr>
            <w:tcW w:w="2063" w:type="dxa"/>
            <w:shd w:val="clear" w:color="auto" w:fill="24455B"/>
          </w:tcPr>
          <w:p w14:paraId="6BEEEFC2" w14:textId="77777777" w:rsidR="00AF5115" w:rsidRPr="00AF5115" w:rsidRDefault="00AF5115" w:rsidP="00B538C8">
            <w:pPr>
              <w:pStyle w:val="BodyText"/>
              <w:rPr>
                <w:rFonts w:ascii="Calibri" w:hAnsi="Calibri" w:cs="Calibri"/>
                <w:b/>
                <w:color w:val="FFFFFF"/>
                <w:sz w:val="20"/>
                <w:szCs w:val="20"/>
              </w:rPr>
            </w:pPr>
            <w:r w:rsidRPr="00AF5115">
              <w:rPr>
                <w:rFonts w:ascii="Calibri" w:hAnsi="Calibri" w:cs="Calibri"/>
                <w:b/>
                <w:color w:val="FFFFFF"/>
                <w:sz w:val="20"/>
                <w:szCs w:val="20"/>
              </w:rPr>
              <w:t>Term</w:t>
            </w:r>
          </w:p>
        </w:tc>
        <w:tc>
          <w:tcPr>
            <w:tcW w:w="8427" w:type="dxa"/>
            <w:shd w:val="clear" w:color="auto" w:fill="24455B"/>
          </w:tcPr>
          <w:p w14:paraId="4870C9CE" w14:textId="77777777" w:rsidR="00AF5115" w:rsidRPr="00AF5115" w:rsidRDefault="00AF5115" w:rsidP="00B538C8">
            <w:pPr>
              <w:pStyle w:val="BodyText"/>
              <w:rPr>
                <w:rFonts w:ascii="Calibri" w:hAnsi="Calibri" w:cs="Calibri"/>
                <w:b/>
                <w:color w:val="FFFFFF"/>
                <w:sz w:val="20"/>
                <w:szCs w:val="20"/>
              </w:rPr>
            </w:pPr>
            <w:r w:rsidRPr="00AF5115">
              <w:rPr>
                <w:rFonts w:ascii="Calibri" w:hAnsi="Calibri" w:cs="Calibri"/>
                <w:b/>
                <w:color w:val="FFFFFF"/>
                <w:sz w:val="20"/>
                <w:szCs w:val="20"/>
              </w:rPr>
              <w:t>Definition</w:t>
            </w:r>
          </w:p>
        </w:tc>
      </w:tr>
      <w:tr w:rsidR="00AF5115" w:rsidRPr="0085318C" w14:paraId="72D7FD43" w14:textId="77777777" w:rsidTr="00AF5115">
        <w:tc>
          <w:tcPr>
            <w:tcW w:w="2063" w:type="dxa"/>
            <w:shd w:val="clear" w:color="auto" w:fill="auto"/>
          </w:tcPr>
          <w:p w14:paraId="148D590A"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AEC</w:t>
            </w:r>
          </w:p>
        </w:tc>
        <w:tc>
          <w:tcPr>
            <w:tcW w:w="8427" w:type="dxa"/>
            <w:shd w:val="clear" w:color="auto" w:fill="auto"/>
          </w:tcPr>
          <w:p w14:paraId="0D9D8677"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Animal ethics committee.</w:t>
            </w:r>
          </w:p>
          <w:p w14:paraId="6F3C2EB0"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 xml:space="preserve">The FSS AEC is constituted in accordance with the </w:t>
            </w:r>
            <w:r w:rsidRPr="00AF5115">
              <w:rPr>
                <w:rFonts w:ascii="Calibri" w:hAnsi="Calibri" w:cs="Calibri"/>
                <w:i/>
                <w:sz w:val="20"/>
                <w:szCs w:val="20"/>
              </w:rPr>
              <w:t xml:space="preserve">Australian code for the care and use of animals for scientific purposes, </w:t>
            </w:r>
            <w:r w:rsidRPr="00AF5115">
              <w:rPr>
                <w:rFonts w:ascii="Calibri" w:hAnsi="Calibri" w:cs="Calibri"/>
                <w:sz w:val="20"/>
                <w:szCs w:val="20"/>
              </w:rPr>
              <w:t>2013</w:t>
            </w:r>
          </w:p>
        </w:tc>
      </w:tr>
      <w:tr w:rsidR="00AF5115" w:rsidRPr="0085318C" w14:paraId="7CAF10BE" w14:textId="77777777" w:rsidTr="00AF5115">
        <w:tc>
          <w:tcPr>
            <w:tcW w:w="2063" w:type="dxa"/>
            <w:shd w:val="clear" w:color="auto" w:fill="CBDEEB"/>
          </w:tcPr>
          <w:p w14:paraId="631BDFC2"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Breach</w:t>
            </w:r>
          </w:p>
        </w:tc>
        <w:tc>
          <w:tcPr>
            <w:tcW w:w="8427" w:type="dxa"/>
            <w:shd w:val="clear" w:color="auto" w:fill="CBDEEB"/>
          </w:tcPr>
          <w:p w14:paraId="3F640F63"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Any failure/s to meet the principles and responsibilities of the Code. A breach/es can occur across a range of severity levels.</w:t>
            </w:r>
          </w:p>
        </w:tc>
      </w:tr>
      <w:tr w:rsidR="00AF5115" w:rsidRPr="0085318C" w14:paraId="55BF38A0" w14:textId="77777777" w:rsidTr="00AF5115">
        <w:tc>
          <w:tcPr>
            <w:tcW w:w="2063" w:type="dxa"/>
            <w:shd w:val="clear" w:color="auto" w:fill="auto"/>
          </w:tcPr>
          <w:p w14:paraId="632249AC"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Code</w:t>
            </w:r>
          </w:p>
        </w:tc>
        <w:tc>
          <w:tcPr>
            <w:tcW w:w="8427" w:type="dxa"/>
            <w:shd w:val="clear" w:color="auto" w:fill="auto"/>
          </w:tcPr>
          <w:p w14:paraId="3571470B" w14:textId="77777777" w:rsidR="00AF5115" w:rsidRPr="00AF5115" w:rsidRDefault="00AF5115" w:rsidP="00B538C8">
            <w:pPr>
              <w:pStyle w:val="BodyText"/>
              <w:rPr>
                <w:rFonts w:ascii="Calibri" w:hAnsi="Calibri" w:cs="Calibri"/>
                <w:i/>
                <w:sz w:val="20"/>
                <w:szCs w:val="20"/>
              </w:rPr>
            </w:pPr>
            <w:r w:rsidRPr="00AF5115">
              <w:rPr>
                <w:rFonts w:ascii="Calibri" w:hAnsi="Calibri" w:cs="Calibri"/>
                <w:sz w:val="20"/>
                <w:szCs w:val="20"/>
              </w:rPr>
              <w:t xml:space="preserve">The </w:t>
            </w:r>
            <w:r w:rsidRPr="00AF5115">
              <w:rPr>
                <w:rFonts w:ascii="Calibri" w:hAnsi="Calibri" w:cs="Calibri"/>
                <w:i/>
                <w:sz w:val="20"/>
                <w:szCs w:val="20"/>
              </w:rPr>
              <w:t>Australian Code for the Responsible Conduct of Research</w:t>
            </w:r>
            <w:r w:rsidRPr="00AF5115">
              <w:rPr>
                <w:rFonts w:ascii="Calibri" w:hAnsi="Calibri" w:cs="Calibri"/>
                <w:sz w:val="20"/>
                <w:szCs w:val="20"/>
              </w:rPr>
              <w:t>, NHMRC (2018).</w:t>
            </w:r>
          </w:p>
        </w:tc>
      </w:tr>
      <w:tr w:rsidR="00AF5115" w:rsidRPr="0085318C" w14:paraId="0A52C083" w14:textId="77777777" w:rsidTr="00AF5115">
        <w:tc>
          <w:tcPr>
            <w:tcW w:w="2063" w:type="dxa"/>
            <w:tcBorders>
              <w:bottom w:val="single" w:sz="12" w:space="0" w:color="FFFFFF"/>
            </w:tcBorders>
            <w:shd w:val="clear" w:color="auto" w:fill="CBDEEB"/>
          </w:tcPr>
          <w:p w14:paraId="23EC44D8"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Complaint</w:t>
            </w:r>
          </w:p>
        </w:tc>
        <w:tc>
          <w:tcPr>
            <w:tcW w:w="8427" w:type="dxa"/>
            <w:tcBorders>
              <w:bottom w:val="single" w:sz="12" w:space="0" w:color="FFFFFF"/>
            </w:tcBorders>
            <w:shd w:val="clear" w:color="auto" w:fill="CBDEEB"/>
          </w:tcPr>
          <w:p w14:paraId="3A19C978"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Dissatisfaction or concern raised about the conduct of research, research integrity or the conduct of an ethics committee.</w:t>
            </w:r>
          </w:p>
        </w:tc>
      </w:tr>
      <w:tr w:rsidR="00AF5115" w:rsidRPr="0085318C" w14:paraId="0CCAD19D" w14:textId="77777777" w:rsidTr="00AF5115">
        <w:tc>
          <w:tcPr>
            <w:tcW w:w="2063" w:type="dxa"/>
            <w:tcBorders>
              <w:top w:val="single" w:sz="12" w:space="0" w:color="FFFFFF"/>
              <w:bottom w:val="single" w:sz="12" w:space="0" w:color="FFFFFF"/>
            </w:tcBorders>
            <w:shd w:val="clear" w:color="auto" w:fill="FFFFFF"/>
          </w:tcPr>
          <w:p w14:paraId="23B012BF"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Fabrication</w:t>
            </w:r>
          </w:p>
        </w:tc>
        <w:tc>
          <w:tcPr>
            <w:tcW w:w="8427" w:type="dxa"/>
            <w:tcBorders>
              <w:top w:val="single" w:sz="12" w:space="0" w:color="FFFFFF"/>
              <w:bottom w:val="single" w:sz="12" w:space="0" w:color="FFFFFF"/>
            </w:tcBorders>
            <w:shd w:val="clear" w:color="auto" w:fill="FFFFFF"/>
          </w:tcPr>
          <w:p w14:paraId="34CBE2DC"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A deliberately false or improbable account.</w:t>
            </w:r>
          </w:p>
        </w:tc>
      </w:tr>
      <w:tr w:rsidR="00AF5115" w:rsidRPr="0085318C" w14:paraId="1503D7A5" w14:textId="77777777" w:rsidTr="00AF5115">
        <w:tc>
          <w:tcPr>
            <w:tcW w:w="2063" w:type="dxa"/>
            <w:tcBorders>
              <w:top w:val="single" w:sz="12" w:space="0" w:color="FFFFFF"/>
              <w:bottom w:val="single" w:sz="12" w:space="0" w:color="FFFFFF"/>
            </w:tcBorders>
            <w:shd w:val="clear" w:color="auto" w:fill="CBDEEB"/>
          </w:tcPr>
          <w:p w14:paraId="5BD836A5"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Falsification</w:t>
            </w:r>
          </w:p>
        </w:tc>
        <w:tc>
          <w:tcPr>
            <w:tcW w:w="8427" w:type="dxa"/>
            <w:tcBorders>
              <w:top w:val="single" w:sz="12" w:space="0" w:color="FFFFFF"/>
              <w:bottom w:val="single" w:sz="12" w:space="0" w:color="FFFFFF"/>
            </w:tcBorders>
            <w:shd w:val="clear" w:color="auto" w:fill="CBDEEB"/>
          </w:tcPr>
          <w:p w14:paraId="10B54424"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To state untruthfully, misrepresent.</w:t>
            </w:r>
          </w:p>
        </w:tc>
      </w:tr>
      <w:tr w:rsidR="00AF5115" w:rsidRPr="0085318C" w14:paraId="60378862" w14:textId="77777777" w:rsidTr="00AF5115">
        <w:tc>
          <w:tcPr>
            <w:tcW w:w="2063" w:type="dxa"/>
            <w:tcBorders>
              <w:top w:val="single" w:sz="12" w:space="0" w:color="FFFFFF"/>
              <w:bottom w:val="single" w:sz="12" w:space="0" w:color="FFFFFF"/>
            </w:tcBorders>
            <w:shd w:val="clear" w:color="auto" w:fill="FFFFFF"/>
          </w:tcPr>
          <w:p w14:paraId="4F74A21E"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FSS</w:t>
            </w:r>
          </w:p>
        </w:tc>
        <w:tc>
          <w:tcPr>
            <w:tcW w:w="8427" w:type="dxa"/>
            <w:tcBorders>
              <w:top w:val="single" w:sz="12" w:space="0" w:color="FFFFFF"/>
              <w:bottom w:val="single" w:sz="12" w:space="0" w:color="FFFFFF"/>
            </w:tcBorders>
            <w:shd w:val="clear" w:color="auto" w:fill="FFFFFF"/>
          </w:tcPr>
          <w:p w14:paraId="487C362F"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Forensic and Scientific Services</w:t>
            </w:r>
          </w:p>
        </w:tc>
      </w:tr>
      <w:tr w:rsidR="00AF5115" w:rsidRPr="0085318C" w14:paraId="652A78F8" w14:textId="77777777" w:rsidTr="00AF5115">
        <w:tc>
          <w:tcPr>
            <w:tcW w:w="2063" w:type="dxa"/>
            <w:tcBorders>
              <w:top w:val="single" w:sz="12" w:space="0" w:color="FFFFFF"/>
              <w:bottom w:val="single" w:sz="12" w:space="0" w:color="FFFFFF"/>
            </w:tcBorders>
            <w:shd w:val="clear" w:color="auto" w:fill="CBDEEB"/>
          </w:tcPr>
          <w:p w14:paraId="4D77F33D"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Guide</w:t>
            </w:r>
          </w:p>
        </w:tc>
        <w:tc>
          <w:tcPr>
            <w:tcW w:w="8427" w:type="dxa"/>
            <w:tcBorders>
              <w:top w:val="single" w:sz="12" w:space="0" w:color="FFFFFF"/>
              <w:bottom w:val="single" w:sz="12" w:space="0" w:color="FFFFFF"/>
            </w:tcBorders>
            <w:shd w:val="clear" w:color="auto" w:fill="CBDEEB"/>
          </w:tcPr>
          <w:p w14:paraId="0DBB4A9F"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NHMRC Guide to managing potential breaches of the Code for the Responsible Conduct of Research</w:t>
            </w:r>
          </w:p>
        </w:tc>
      </w:tr>
      <w:tr w:rsidR="00AF5115" w:rsidRPr="0085318C" w14:paraId="365C6FFD" w14:textId="77777777" w:rsidTr="00AF5115">
        <w:tc>
          <w:tcPr>
            <w:tcW w:w="2063" w:type="dxa"/>
            <w:tcBorders>
              <w:top w:val="single" w:sz="12" w:space="0" w:color="FFFFFF"/>
            </w:tcBorders>
            <w:shd w:val="clear" w:color="auto" w:fill="auto"/>
          </w:tcPr>
          <w:p w14:paraId="296FBFAD"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HREC</w:t>
            </w:r>
          </w:p>
        </w:tc>
        <w:tc>
          <w:tcPr>
            <w:tcW w:w="8427" w:type="dxa"/>
            <w:tcBorders>
              <w:top w:val="single" w:sz="12" w:space="0" w:color="FFFFFF"/>
            </w:tcBorders>
            <w:shd w:val="clear" w:color="auto" w:fill="auto"/>
          </w:tcPr>
          <w:p w14:paraId="3F1913CF"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Human Research Ethics Committee.</w:t>
            </w:r>
          </w:p>
          <w:p w14:paraId="4019BC5F"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 xml:space="preserve">A Committee constituted under the guidance of the </w:t>
            </w:r>
            <w:r w:rsidRPr="00AF5115">
              <w:rPr>
                <w:rFonts w:ascii="Calibri" w:hAnsi="Calibri" w:cs="Calibri"/>
                <w:i/>
                <w:sz w:val="20"/>
                <w:szCs w:val="20"/>
              </w:rPr>
              <w:t>National statement on the ethical conduct in human research</w:t>
            </w:r>
            <w:r w:rsidRPr="00AF5115">
              <w:rPr>
                <w:rFonts w:ascii="Calibri" w:hAnsi="Calibri" w:cs="Calibri"/>
                <w:sz w:val="20"/>
                <w:szCs w:val="20"/>
              </w:rPr>
              <w:t xml:space="preserve"> to conduct the ethical and scientific review of a human research protocol.</w:t>
            </w:r>
          </w:p>
        </w:tc>
      </w:tr>
      <w:tr w:rsidR="00AF5115" w:rsidRPr="0085318C" w14:paraId="33407C43" w14:textId="77777777" w:rsidTr="00AF5115">
        <w:tc>
          <w:tcPr>
            <w:tcW w:w="2063" w:type="dxa"/>
            <w:shd w:val="clear" w:color="auto" w:fill="CBDEEB"/>
          </w:tcPr>
          <w:p w14:paraId="134110D5"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Major breach</w:t>
            </w:r>
          </w:p>
        </w:tc>
        <w:tc>
          <w:tcPr>
            <w:tcW w:w="8427" w:type="dxa"/>
            <w:shd w:val="clear" w:color="auto" w:fill="CBDEEB"/>
          </w:tcPr>
          <w:p w14:paraId="422F7FA4"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Serious deviation from the Code or multiple/repeated breaches, including issues that may cause patient/community harm, negatively impact on public confidence and/or departmental reputation</w:t>
            </w:r>
          </w:p>
        </w:tc>
      </w:tr>
      <w:tr w:rsidR="00AF5115" w:rsidRPr="0085318C" w14:paraId="5C445F25" w14:textId="77777777" w:rsidTr="00AF5115">
        <w:tc>
          <w:tcPr>
            <w:tcW w:w="2063" w:type="dxa"/>
            <w:shd w:val="clear" w:color="auto" w:fill="auto"/>
          </w:tcPr>
          <w:p w14:paraId="4BEBED55"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Minor breach</w:t>
            </w:r>
          </w:p>
        </w:tc>
        <w:tc>
          <w:tcPr>
            <w:tcW w:w="8427" w:type="dxa"/>
            <w:shd w:val="clear" w:color="auto" w:fill="auto"/>
          </w:tcPr>
          <w:p w14:paraId="34FCAB4C"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Less serious breaches of the Code that can be satisfactorily remedied at the local level.</w:t>
            </w:r>
          </w:p>
        </w:tc>
      </w:tr>
      <w:tr w:rsidR="00AF5115" w:rsidRPr="0085318C" w14:paraId="19412926" w14:textId="77777777" w:rsidTr="00AF5115">
        <w:tc>
          <w:tcPr>
            <w:tcW w:w="2063" w:type="dxa"/>
            <w:shd w:val="clear" w:color="auto" w:fill="CBDEEB"/>
          </w:tcPr>
          <w:p w14:paraId="4602F4CB"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Plagiarism</w:t>
            </w:r>
          </w:p>
        </w:tc>
        <w:tc>
          <w:tcPr>
            <w:tcW w:w="8427" w:type="dxa"/>
            <w:shd w:val="clear" w:color="auto" w:fill="CBDEEB"/>
          </w:tcPr>
          <w:p w14:paraId="7A75EE3A"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The practice of taking someone else’s work or ideas and passing them off as one’s own. Self-plagiarism occurs where authors publish their own work multiple times</w:t>
            </w:r>
          </w:p>
        </w:tc>
      </w:tr>
      <w:tr w:rsidR="00AF5115" w:rsidRPr="0085318C" w14:paraId="34478530" w14:textId="77777777" w:rsidTr="00AF5115">
        <w:tc>
          <w:tcPr>
            <w:tcW w:w="2063" w:type="dxa"/>
            <w:tcBorders>
              <w:bottom w:val="single" w:sz="12" w:space="0" w:color="FFFFFF"/>
            </w:tcBorders>
            <w:shd w:val="clear" w:color="auto" w:fill="auto"/>
          </w:tcPr>
          <w:p w14:paraId="73D456DE"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Procedural fairness</w:t>
            </w:r>
          </w:p>
        </w:tc>
        <w:tc>
          <w:tcPr>
            <w:tcW w:w="8427" w:type="dxa"/>
            <w:tcBorders>
              <w:bottom w:val="single" w:sz="12" w:space="0" w:color="FFFFFF"/>
            </w:tcBorders>
            <w:shd w:val="clear" w:color="auto" w:fill="auto"/>
          </w:tcPr>
          <w:p w14:paraId="3415681A"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A concept which provides a person a fair, reasonable and publicly accountable process in resolving disputes. This process is also called ‘natural justice’.</w:t>
            </w:r>
          </w:p>
        </w:tc>
      </w:tr>
      <w:tr w:rsidR="00AF5115" w:rsidRPr="0085318C" w14:paraId="5E644EFE" w14:textId="77777777" w:rsidTr="00AF5115">
        <w:tc>
          <w:tcPr>
            <w:tcW w:w="2063" w:type="dxa"/>
            <w:tcBorders>
              <w:top w:val="single" w:sz="12" w:space="0" w:color="FFFFFF"/>
              <w:bottom w:val="single" w:sz="12" w:space="0" w:color="FFFFFF"/>
            </w:tcBorders>
            <w:shd w:val="clear" w:color="auto" w:fill="CBDEEB"/>
          </w:tcPr>
          <w:p w14:paraId="36CD50D0" w14:textId="77777777" w:rsidR="00AF5115" w:rsidRPr="00AF5115" w:rsidRDefault="00AF5115" w:rsidP="00B538C8">
            <w:pPr>
              <w:pStyle w:val="BodyText"/>
              <w:rPr>
                <w:rFonts w:ascii="Calibri" w:hAnsi="Calibri" w:cs="Calibri"/>
                <w:sz w:val="20"/>
                <w:szCs w:val="20"/>
              </w:rPr>
            </w:pPr>
            <w:r w:rsidRPr="00AF5115">
              <w:rPr>
                <w:rFonts w:ascii="Calibri" w:hAnsi="Calibri" w:cs="Calibri"/>
                <w:sz w:val="20"/>
                <w:szCs w:val="20"/>
              </w:rPr>
              <w:t>Research misconduct</w:t>
            </w:r>
          </w:p>
        </w:tc>
        <w:tc>
          <w:tcPr>
            <w:tcW w:w="8427" w:type="dxa"/>
            <w:tcBorders>
              <w:top w:val="single" w:sz="12" w:space="0" w:color="FFFFFF"/>
              <w:bottom w:val="single" w:sz="12" w:space="0" w:color="FFFFFF"/>
            </w:tcBorders>
            <w:shd w:val="clear" w:color="auto" w:fill="CBDEEB"/>
          </w:tcPr>
          <w:p w14:paraId="7DA21540" w14:textId="77777777" w:rsidR="00AF5115" w:rsidRPr="00AF5115" w:rsidDel="005144DD" w:rsidRDefault="00AF5115" w:rsidP="00B538C8">
            <w:pPr>
              <w:pStyle w:val="TableTextLeft"/>
              <w:rPr>
                <w:rFonts w:ascii="Calibri" w:hAnsi="Calibri" w:cs="Calibri"/>
                <w:szCs w:val="20"/>
              </w:rPr>
            </w:pPr>
            <w:r w:rsidRPr="00AF5115" w:rsidDel="005144DD">
              <w:rPr>
                <w:rFonts w:ascii="Calibri" w:hAnsi="Calibri" w:cs="Calibri"/>
                <w:szCs w:val="20"/>
              </w:rPr>
              <w:t>A complaint or allegation that involves all the f</w:t>
            </w:r>
            <w:r w:rsidRPr="00AF5115" w:rsidDel="007C17DD">
              <w:rPr>
                <w:rFonts w:ascii="Calibri" w:hAnsi="Calibri" w:cs="Calibri"/>
                <w:szCs w:val="20"/>
              </w:rPr>
              <w:t>o</w:t>
            </w:r>
            <w:r w:rsidRPr="00AF5115" w:rsidDel="005144DD">
              <w:rPr>
                <w:rFonts w:ascii="Calibri" w:hAnsi="Calibri" w:cs="Calibri"/>
                <w:szCs w:val="20"/>
              </w:rPr>
              <w:t>llowing:</w:t>
            </w:r>
          </w:p>
          <w:p w14:paraId="4E162259" w14:textId="77777777" w:rsidR="00AF5115" w:rsidRPr="00AF5115" w:rsidDel="005144DD" w:rsidRDefault="00AF5115" w:rsidP="00B538C8">
            <w:pPr>
              <w:pStyle w:val="TableBullet"/>
              <w:tabs>
                <w:tab w:val="clear" w:pos="227"/>
                <w:tab w:val="num" w:pos="442"/>
              </w:tabs>
              <w:ind w:left="442" w:hanging="442"/>
              <w:rPr>
                <w:rFonts w:ascii="Calibri" w:hAnsi="Calibri" w:cs="Calibri"/>
                <w:szCs w:val="20"/>
              </w:rPr>
            </w:pPr>
            <w:r w:rsidRPr="00AF5115" w:rsidDel="005144DD">
              <w:rPr>
                <w:rFonts w:ascii="Calibri" w:hAnsi="Calibri" w:cs="Calibri"/>
                <w:szCs w:val="20"/>
              </w:rPr>
              <w:t>an alleged serious breach of the Code</w:t>
            </w:r>
          </w:p>
          <w:p w14:paraId="423091F7" w14:textId="77777777" w:rsidR="00AF5115" w:rsidRPr="00AF5115" w:rsidDel="005144DD" w:rsidRDefault="00AF5115" w:rsidP="00B538C8">
            <w:pPr>
              <w:pStyle w:val="TableBullet"/>
              <w:tabs>
                <w:tab w:val="clear" w:pos="227"/>
                <w:tab w:val="num" w:pos="442"/>
              </w:tabs>
              <w:ind w:left="442" w:hanging="442"/>
              <w:rPr>
                <w:rFonts w:ascii="Calibri" w:hAnsi="Calibri" w:cs="Calibri"/>
                <w:szCs w:val="20"/>
              </w:rPr>
            </w:pPr>
            <w:r w:rsidRPr="00AF5115" w:rsidDel="005144DD">
              <w:rPr>
                <w:rFonts w:ascii="Calibri" w:hAnsi="Calibri" w:cs="Calibri"/>
                <w:szCs w:val="20"/>
              </w:rPr>
              <w:t>intent, deliberation, recklessness or gross and persistent negligence</w:t>
            </w:r>
          </w:p>
          <w:p w14:paraId="5C5C7E34" w14:textId="77777777" w:rsidR="00AF5115" w:rsidRPr="00AF5115" w:rsidDel="005144DD" w:rsidRDefault="00AF5115" w:rsidP="00B538C8">
            <w:pPr>
              <w:pStyle w:val="TableBullet"/>
              <w:tabs>
                <w:tab w:val="clear" w:pos="227"/>
                <w:tab w:val="num" w:pos="442"/>
              </w:tabs>
              <w:ind w:left="442" w:hanging="442"/>
              <w:rPr>
                <w:rFonts w:ascii="Calibri" w:hAnsi="Calibri" w:cs="Calibri"/>
                <w:szCs w:val="20"/>
              </w:rPr>
            </w:pPr>
            <w:r w:rsidRPr="00AF5115" w:rsidDel="005144DD">
              <w:rPr>
                <w:rFonts w:ascii="Calibri" w:hAnsi="Calibri" w:cs="Calibri"/>
                <w:szCs w:val="20"/>
              </w:rPr>
              <w:t>serious consequences, such as false information on the public record, or adverse effects on research participants, animals or the environment.</w:t>
            </w:r>
          </w:p>
          <w:p w14:paraId="63628A0C" w14:textId="77777777" w:rsidR="00AF5115" w:rsidRPr="00AF5115" w:rsidRDefault="00AF5115" w:rsidP="00B538C8">
            <w:pPr>
              <w:pStyle w:val="TableBullet"/>
              <w:tabs>
                <w:tab w:val="clear" w:pos="227"/>
                <w:tab w:val="num" w:pos="442"/>
              </w:tabs>
              <w:ind w:left="442" w:hanging="442"/>
              <w:rPr>
                <w:rFonts w:ascii="Calibri" w:hAnsi="Calibri" w:cs="Calibri"/>
                <w:szCs w:val="20"/>
              </w:rPr>
            </w:pPr>
            <w:r w:rsidRPr="00AF5115" w:rsidDel="005144DD">
              <w:rPr>
                <w:rFonts w:ascii="Calibri" w:hAnsi="Calibri" w:cs="Calibri"/>
                <w:szCs w:val="20"/>
              </w:rPr>
              <w:t>Breaches of the Code that warrant formal allegation and investigation would be expected to lead to disciplinary action.</w:t>
            </w:r>
          </w:p>
          <w:p w14:paraId="5656E38C" w14:textId="77777777" w:rsidR="00AF5115" w:rsidRPr="00AF5115" w:rsidRDefault="006121FC" w:rsidP="00B538C8">
            <w:pPr>
              <w:pStyle w:val="TableBullet"/>
              <w:tabs>
                <w:tab w:val="clear" w:pos="227"/>
                <w:tab w:val="num" w:pos="442"/>
              </w:tabs>
              <w:ind w:left="442" w:hanging="442"/>
              <w:rPr>
                <w:rFonts w:ascii="Calibri" w:hAnsi="Calibri" w:cs="Calibri"/>
                <w:szCs w:val="20"/>
              </w:rPr>
            </w:pPr>
            <w:hyperlink w:anchor="_Appendix_1_Examples" w:history="1">
              <w:r w:rsidR="00AF5115" w:rsidRPr="00AF5115">
                <w:rPr>
                  <w:rStyle w:val="Hyperlink"/>
                  <w:rFonts w:ascii="Calibri" w:hAnsi="Calibri" w:cs="Calibri"/>
                  <w:szCs w:val="20"/>
                </w:rPr>
                <w:t>Appendix 1</w:t>
              </w:r>
            </w:hyperlink>
            <w:r w:rsidR="00AF5115" w:rsidRPr="00AF5115">
              <w:rPr>
                <w:rFonts w:ascii="Calibri" w:hAnsi="Calibri" w:cs="Calibri"/>
                <w:szCs w:val="20"/>
              </w:rPr>
              <w:t xml:space="preserve"> provides examples of breaches and research misconduct as outlined in the Guide</w:t>
            </w:r>
          </w:p>
        </w:tc>
      </w:tr>
      <w:tr w:rsidR="00AF5115" w:rsidRPr="0085318C" w14:paraId="62ED5704" w14:textId="77777777" w:rsidTr="00AF5115">
        <w:tc>
          <w:tcPr>
            <w:tcW w:w="2063" w:type="dxa"/>
            <w:tcBorders>
              <w:top w:val="single" w:sz="12" w:space="0" w:color="FFFFFF"/>
            </w:tcBorders>
            <w:shd w:val="clear" w:color="auto" w:fill="auto"/>
          </w:tcPr>
          <w:p w14:paraId="49375E02" w14:textId="77777777" w:rsidR="00AF5115" w:rsidRPr="00AF5115" w:rsidRDefault="00AF5115" w:rsidP="00B538C8">
            <w:pPr>
              <w:pStyle w:val="BodyText"/>
              <w:rPr>
                <w:rFonts w:ascii="Calibri" w:hAnsi="Calibri" w:cs="Calibri"/>
                <w:sz w:val="20"/>
                <w:szCs w:val="20"/>
              </w:rPr>
            </w:pPr>
          </w:p>
        </w:tc>
        <w:tc>
          <w:tcPr>
            <w:tcW w:w="8427" w:type="dxa"/>
            <w:tcBorders>
              <w:top w:val="single" w:sz="12" w:space="0" w:color="FFFFFF"/>
            </w:tcBorders>
            <w:shd w:val="clear" w:color="auto" w:fill="auto"/>
          </w:tcPr>
          <w:p w14:paraId="6C1E569B" w14:textId="77777777" w:rsidR="00AF5115" w:rsidRPr="00AF5115" w:rsidRDefault="00AF5115" w:rsidP="00B538C8">
            <w:pPr>
              <w:pStyle w:val="BodyText"/>
              <w:rPr>
                <w:rFonts w:ascii="Calibri" w:hAnsi="Calibri" w:cs="Calibri"/>
                <w:sz w:val="20"/>
                <w:szCs w:val="20"/>
              </w:rPr>
            </w:pPr>
          </w:p>
        </w:tc>
      </w:tr>
    </w:tbl>
    <w:p w14:paraId="46302512" w14:textId="77777777" w:rsidR="00AF5115" w:rsidRDefault="00AF5115" w:rsidP="00AF5115">
      <w:pPr>
        <w:pStyle w:val="Heading2"/>
      </w:pPr>
      <w:r>
        <w:lastRenderedPageBreak/>
        <w:t>Roles and responsibilities</w:t>
      </w:r>
    </w:p>
    <w:tbl>
      <w:tblPr>
        <w:tblW w:w="0" w:type="auto"/>
        <w:tblInd w:w="108" w:type="dxa"/>
        <w:tblBorders>
          <w:insideH w:val="single" w:sz="12" w:space="0" w:color="FFFFFF"/>
          <w:insideV w:val="single" w:sz="12" w:space="0" w:color="FFFFFF"/>
        </w:tblBorders>
        <w:tblLook w:val="01E0" w:firstRow="1" w:lastRow="1" w:firstColumn="1" w:lastColumn="1" w:noHBand="0" w:noVBand="0"/>
      </w:tblPr>
      <w:tblGrid>
        <w:gridCol w:w="3133"/>
        <w:gridCol w:w="6964"/>
      </w:tblGrid>
      <w:tr w:rsidR="00AF5115" w:rsidRPr="003B56B5" w14:paraId="76B858B4" w14:textId="77777777" w:rsidTr="00B538C8">
        <w:tc>
          <w:tcPr>
            <w:tcW w:w="3190" w:type="dxa"/>
            <w:shd w:val="clear" w:color="auto" w:fill="24455B"/>
          </w:tcPr>
          <w:p w14:paraId="400AFD9A" w14:textId="77777777" w:rsidR="00AF5115" w:rsidRPr="00AF5115" w:rsidRDefault="00AF5115" w:rsidP="00B538C8">
            <w:pPr>
              <w:pStyle w:val="BodyText"/>
              <w:rPr>
                <w:rFonts w:ascii="Calibri" w:hAnsi="Calibri" w:cs="Calibri"/>
                <w:b/>
                <w:color w:val="FFFFFF"/>
              </w:rPr>
            </w:pPr>
            <w:r w:rsidRPr="00AF5115">
              <w:rPr>
                <w:rFonts w:ascii="Calibri" w:hAnsi="Calibri" w:cs="Calibri"/>
                <w:b/>
                <w:color w:val="FFFFFF"/>
              </w:rPr>
              <w:t>Roles</w:t>
            </w:r>
          </w:p>
        </w:tc>
        <w:tc>
          <w:tcPr>
            <w:tcW w:w="7123" w:type="dxa"/>
            <w:shd w:val="clear" w:color="auto" w:fill="24455B"/>
          </w:tcPr>
          <w:p w14:paraId="00AFE387" w14:textId="77777777" w:rsidR="00AF5115" w:rsidRPr="00AF5115" w:rsidRDefault="00AF5115" w:rsidP="00B538C8">
            <w:pPr>
              <w:pStyle w:val="BodyText"/>
              <w:rPr>
                <w:rFonts w:ascii="Calibri" w:hAnsi="Calibri" w:cs="Calibri"/>
                <w:b/>
                <w:color w:val="FFFFFF"/>
              </w:rPr>
            </w:pPr>
            <w:r w:rsidRPr="00AF5115">
              <w:rPr>
                <w:rFonts w:ascii="Calibri" w:hAnsi="Calibri" w:cs="Calibri"/>
                <w:b/>
                <w:color w:val="FFFFFF"/>
              </w:rPr>
              <w:t>Responsibilities</w:t>
            </w:r>
          </w:p>
        </w:tc>
      </w:tr>
      <w:tr w:rsidR="00AF5115" w:rsidRPr="003B56B5" w14:paraId="6D7A187A" w14:textId="77777777" w:rsidTr="00B538C8">
        <w:tc>
          <w:tcPr>
            <w:tcW w:w="3190" w:type="dxa"/>
            <w:shd w:val="clear" w:color="auto" w:fill="auto"/>
          </w:tcPr>
          <w:p w14:paraId="192FE71B" w14:textId="77777777" w:rsidR="00AF5115" w:rsidRPr="00AF5115" w:rsidRDefault="00AF5115" w:rsidP="00B538C8">
            <w:pPr>
              <w:pStyle w:val="BodyText"/>
              <w:rPr>
                <w:rFonts w:ascii="Calibri" w:hAnsi="Calibri" w:cs="Calibri"/>
              </w:rPr>
            </w:pPr>
            <w:r w:rsidRPr="00AF5115">
              <w:rPr>
                <w:rFonts w:ascii="Calibri" w:hAnsi="Calibri" w:cs="Calibri"/>
              </w:rPr>
              <w:t>Responsible Executive Officer (REO)</w:t>
            </w:r>
          </w:p>
        </w:tc>
        <w:tc>
          <w:tcPr>
            <w:tcW w:w="7123" w:type="dxa"/>
            <w:shd w:val="clear" w:color="auto" w:fill="auto"/>
          </w:tcPr>
          <w:p w14:paraId="5DC1C39C" w14:textId="77777777" w:rsidR="00AF5115" w:rsidRPr="00AF5115" w:rsidRDefault="00AF5115" w:rsidP="00B538C8">
            <w:pPr>
              <w:pStyle w:val="BodyText"/>
              <w:rPr>
                <w:rFonts w:ascii="Calibri" w:hAnsi="Calibri" w:cs="Calibri"/>
              </w:rPr>
            </w:pPr>
            <w:r w:rsidRPr="00AF5115">
              <w:rPr>
                <w:rFonts w:ascii="Calibri" w:hAnsi="Calibri" w:cs="Calibri"/>
              </w:rPr>
              <w:t>Overall and final responsibility for making decisions on responses to serious breaches. Some aspects, including decisions on minor breaches, can be delegated to a senior manager of the relevant business area.</w:t>
            </w:r>
          </w:p>
        </w:tc>
      </w:tr>
      <w:tr w:rsidR="00AF5115" w:rsidRPr="003B56B5" w14:paraId="1CF2EDE4" w14:textId="77777777" w:rsidTr="00B538C8">
        <w:tc>
          <w:tcPr>
            <w:tcW w:w="3190" w:type="dxa"/>
            <w:tcBorders>
              <w:bottom w:val="single" w:sz="12" w:space="0" w:color="FFFFFF"/>
            </w:tcBorders>
            <w:shd w:val="clear" w:color="auto" w:fill="CBDEEB"/>
          </w:tcPr>
          <w:p w14:paraId="0009F43D" w14:textId="77777777" w:rsidR="00AF5115" w:rsidRPr="00AF5115" w:rsidRDefault="00AF5115" w:rsidP="00B538C8">
            <w:pPr>
              <w:pStyle w:val="BodyText"/>
              <w:rPr>
                <w:rFonts w:ascii="Calibri" w:hAnsi="Calibri" w:cs="Calibri"/>
              </w:rPr>
            </w:pPr>
            <w:r w:rsidRPr="00AF5115">
              <w:rPr>
                <w:rFonts w:ascii="Calibri" w:hAnsi="Calibri" w:cs="Calibri"/>
              </w:rPr>
              <w:t>Designated Officer (DO)</w:t>
            </w:r>
          </w:p>
        </w:tc>
        <w:tc>
          <w:tcPr>
            <w:tcW w:w="7123" w:type="dxa"/>
            <w:tcBorders>
              <w:bottom w:val="single" w:sz="12" w:space="0" w:color="FFFFFF"/>
            </w:tcBorders>
            <w:shd w:val="clear" w:color="auto" w:fill="CBDEEB"/>
          </w:tcPr>
          <w:p w14:paraId="18EB7BA3" w14:textId="77777777" w:rsidR="00AF5115" w:rsidRPr="00AF5115" w:rsidRDefault="00AF5115" w:rsidP="00B538C8">
            <w:pPr>
              <w:pStyle w:val="BodyText"/>
              <w:rPr>
                <w:rFonts w:ascii="Calibri" w:hAnsi="Calibri" w:cs="Calibri"/>
              </w:rPr>
            </w:pPr>
            <w:r w:rsidRPr="00AF5115">
              <w:rPr>
                <w:rFonts w:ascii="Calibri" w:hAnsi="Calibri" w:cs="Calibri"/>
              </w:rPr>
              <w:t>A senior manager who receives complaints about research conduct and potential breaches of the Code. The designated officer will oversee the case management and investigation and reports to the REO on serious breaches.</w:t>
            </w:r>
          </w:p>
        </w:tc>
      </w:tr>
      <w:tr w:rsidR="00AF5115" w:rsidRPr="003B56B5" w14:paraId="46D2FE61" w14:textId="77777777" w:rsidTr="00AF5115">
        <w:tc>
          <w:tcPr>
            <w:tcW w:w="3190" w:type="dxa"/>
            <w:tcBorders>
              <w:top w:val="single" w:sz="12" w:space="0" w:color="FFFFFF"/>
              <w:bottom w:val="single" w:sz="12" w:space="0" w:color="FFFFFF"/>
            </w:tcBorders>
            <w:shd w:val="clear" w:color="auto" w:fill="FFFFFF"/>
          </w:tcPr>
          <w:p w14:paraId="2E9D0483" w14:textId="77777777" w:rsidR="00AF5115" w:rsidRPr="00AF5115" w:rsidRDefault="00AF5115" w:rsidP="00B538C8">
            <w:pPr>
              <w:pStyle w:val="BodyText"/>
              <w:rPr>
                <w:rFonts w:ascii="Calibri" w:hAnsi="Calibri" w:cs="Calibri"/>
              </w:rPr>
            </w:pPr>
            <w:r w:rsidRPr="00AF5115">
              <w:rPr>
                <w:rFonts w:ascii="Calibri" w:hAnsi="Calibri" w:cs="Calibri"/>
              </w:rPr>
              <w:t>Assessment Officer</w:t>
            </w:r>
          </w:p>
        </w:tc>
        <w:tc>
          <w:tcPr>
            <w:tcW w:w="7123" w:type="dxa"/>
            <w:tcBorders>
              <w:top w:val="single" w:sz="12" w:space="0" w:color="FFFFFF"/>
              <w:bottom w:val="single" w:sz="12" w:space="0" w:color="FFFFFF"/>
            </w:tcBorders>
            <w:shd w:val="clear" w:color="auto" w:fill="FFFFFF"/>
          </w:tcPr>
          <w:p w14:paraId="58C2DE32" w14:textId="77777777" w:rsidR="00AF5115" w:rsidRPr="00AF5115" w:rsidRDefault="00AF5115" w:rsidP="00B538C8">
            <w:pPr>
              <w:pStyle w:val="BodyText"/>
              <w:rPr>
                <w:rFonts w:ascii="Calibri" w:hAnsi="Calibri" w:cs="Calibri"/>
              </w:rPr>
            </w:pPr>
            <w:r w:rsidRPr="00AF5115">
              <w:rPr>
                <w:rFonts w:ascii="Calibri" w:hAnsi="Calibri" w:cs="Calibri"/>
              </w:rPr>
              <w:t>Conducts the preliminary investigation to assess the allegations/s and provide advice to the DO including if and how the conduct deviates from the Code and recommendations for further action.</w:t>
            </w:r>
          </w:p>
        </w:tc>
      </w:tr>
      <w:tr w:rsidR="00AF5115" w:rsidRPr="003B56B5" w14:paraId="060D8AA3" w14:textId="77777777" w:rsidTr="00B538C8">
        <w:tc>
          <w:tcPr>
            <w:tcW w:w="3190" w:type="dxa"/>
            <w:tcBorders>
              <w:top w:val="single" w:sz="12" w:space="0" w:color="FFFFFF"/>
            </w:tcBorders>
            <w:shd w:val="clear" w:color="auto" w:fill="CBDEEB"/>
          </w:tcPr>
          <w:p w14:paraId="27759D64" w14:textId="77777777" w:rsidR="00AF5115" w:rsidRPr="00AF5115" w:rsidRDefault="00AF5115" w:rsidP="00B538C8">
            <w:pPr>
              <w:pStyle w:val="BodyText"/>
              <w:rPr>
                <w:rFonts w:ascii="Calibri" w:hAnsi="Calibri" w:cs="Calibri"/>
              </w:rPr>
            </w:pPr>
            <w:r w:rsidRPr="00AF5115">
              <w:rPr>
                <w:rFonts w:ascii="Calibri" w:hAnsi="Calibri" w:cs="Calibri"/>
              </w:rPr>
              <w:t>Research Integrity Advisor (RIA)</w:t>
            </w:r>
          </w:p>
        </w:tc>
        <w:tc>
          <w:tcPr>
            <w:tcW w:w="7123" w:type="dxa"/>
            <w:tcBorders>
              <w:top w:val="single" w:sz="12" w:space="0" w:color="FFFFFF"/>
            </w:tcBorders>
            <w:shd w:val="clear" w:color="auto" w:fill="CBDEEB"/>
          </w:tcPr>
          <w:p w14:paraId="6623CA1C" w14:textId="77777777" w:rsidR="00AF5115" w:rsidRPr="00AF5115" w:rsidRDefault="00AF5115" w:rsidP="00B538C8">
            <w:pPr>
              <w:pStyle w:val="BodyText"/>
              <w:rPr>
                <w:rFonts w:ascii="Calibri" w:hAnsi="Calibri" w:cs="Calibri"/>
              </w:rPr>
            </w:pPr>
            <w:r w:rsidRPr="00AF5115">
              <w:rPr>
                <w:rFonts w:ascii="Calibri" w:hAnsi="Calibri" w:cs="Calibri"/>
              </w:rPr>
              <w:t>Supports researchers and promotes responsible research practices that are compliant with the Code. Provides general advice about the complaints process, including how to make a complaint / formally raise a concern. The role of the RIA does not extend to investigation or assessment of the allegation.</w:t>
            </w:r>
          </w:p>
        </w:tc>
      </w:tr>
      <w:tr w:rsidR="00AF5115" w:rsidRPr="003B56B5" w14:paraId="7BE12946" w14:textId="77777777" w:rsidTr="00B538C8">
        <w:tc>
          <w:tcPr>
            <w:tcW w:w="3190" w:type="dxa"/>
            <w:shd w:val="clear" w:color="auto" w:fill="auto"/>
          </w:tcPr>
          <w:p w14:paraId="508C495C" w14:textId="77777777" w:rsidR="00AF5115" w:rsidRPr="00AF5115" w:rsidRDefault="00AF5115" w:rsidP="00B538C8">
            <w:pPr>
              <w:pStyle w:val="BodyText"/>
              <w:rPr>
                <w:rFonts w:ascii="Calibri" w:hAnsi="Calibri" w:cs="Calibri"/>
              </w:rPr>
            </w:pPr>
            <w:r w:rsidRPr="00AF5115">
              <w:rPr>
                <w:rFonts w:ascii="Calibri" w:hAnsi="Calibri" w:cs="Calibri"/>
              </w:rPr>
              <w:t>FSS Human Ethics Committee (FSS HEC)</w:t>
            </w:r>
          </w:p>
          <w:p w14:paraId="30E72677" w14:textId="77777777" w:rsidR="00AF5115" w:rsidRPr="00AF5115" w:rsidRDefault="00AF5115" w:rsidP="00B538C8">
            <w:pPr>
              <w:pStyle w:val="BodyText"/>
              <w:rPr>
                <w:rFonts w:ascii="Calibri" w:hAnsi="Calibri" w:cs="Calibri"/>
              </w:rPr>
            </w:pPr>
            <w:r w:rsidRPr="00AF5115">
              <w:rPr>
                <w:rFonts w:ascii="Calibri" w:hAnsi="Calibri" w:cs="Calibri"/>
              </w:rPr>
              <w:t>FSS Animal Ethics Committee (FSS AEC)</w:t>
            </w:r>
          </w:p>
        </w:tc>
        <w:tc>
          <w:tcPr>
            <w:tcW w:w="7123" w:type="dxa"/>
            <w:shd w:val="clear" w:color="auto" w:fill="auto"/>
          </w:tcPr>
          <w:p w14:paraId="2EBB671E" w14:textId="77777777" w:rsidR="00AF5115" w:rsidRPr="00AF5115" w:rsidRDefault="00AF5115" w:rsidP="00B538C8">
            <w:pPr>
              <w:pStyle w:val="BodyText"/>
              <w:rPr>
                <w:rFonts w:ascii="Calibri" w:hAnsi="Calibri" w:cs="Calibri"/>
              </w:rPr>
            </w:pPr>
            <w:r w:rsidRPr="00AF5115">
              <w:rPr>
                <w:rFonts w:ascii="Calibri" w:hAnsi="Calibri" w:cs="Calibri"/>
              </w:rPr>
              <w:t>The co-ordinator / Chair is responsible for responding to queries or concerns regarding such matters as:</w:t>
            </w:r>
          </w:p>
          <w:p w14:paraId="666FB31A" w14:textId="77777777" w:rsidR="00AF5115" w:rsidRPr="00AF5115" w:rsidRDefault="00AF5115" w:rsidP="00B538C8">
            <w:pPr>
              <w:pStyle w:val="BodyText"/>
              <w:numPr>
                <w:ilvl w:val="0"/>
                <w:numId w:val="34"/>
              </w:numPr>
              <w:tabs>
                <w:tab w:val="clear" w:pos="720"/>
              </w:tabs>
              <w:spacing w:line="240" w:lineRule="auto"/>
              <w:ind w:left="332" w:hanging="357"/>
              <w:rPr>
                <w:rFonts w:ascii="Calibri" w:hAnsi="Calibri" w:cs="Calibri"/>
              </w:rPr>
            </w:pPr>
            <w:r w:rsidRPr="00AF5115">
              <w:rPr>
                <w:rFonts w:ascii="Calibri" w:hAnsi="Calibri" w:cs="Calibri"/>
              </w:rPr>
              <w:t>decisions of the Committee.</w:t>
            </w:r>
          </w:p>
          <w:p w14:paraId="6636D80A" w14:textId="77777777" w:rsidR="00AF5115" w:rsidRPr="00AF5115" w:rsidRDefault="00AF5115" w:rsidP="00B538C8">
            <w:pPr>
              <w:pStyle w:val="BodyText"/>
              <w:numPr>
                <w:ilvl w:val="0"/>
                <w:numId w:val="35"/>
              </w:numPr>
              <w:tabs>
                <w:tab w:val="clear" w:pos="720"/>
              </w:tabs>
              <w:spacing w:line="240" w:lineRule="auto"/>
              <w:ind w:left="332" w:hanging="357"/>
              <w:rPr>
                <w:rFonts w:ascii="Calibri" w:hAnsi="Calibri" w:cs="Calibri"/>
              </w:rPr>
            </w:pPr>
            <w:r w:rsidRPr="00AF5115">
              <w:rPr>
                <w:rFonts w:ascii="Calibri" w:hAnsi="Calibri" w:cs="Calibri"/>
              </w:rPr>
              <w:t>conduct of a project approved by the Committee.</w:t>
            </w:r>
          </w:p>
          <w:p w14:paraId="610AF18A" w14:textId="77777777" w:rsidR="00AF5115" w:rsidRPr="00AF5115" w:rsidRDefault="00AF5115" w:rsidP="00B538C8">
            <w:pPr>
              <w:pStyle w:val="BodyText"/>
              <w:rPr>
                <w:rFonts w:ascii="Calibri" w:hAnsi="Calibri" w:cs="Calibri"/>
              </w:rPr>
            </w:pPr>
            <w:r w:rsidRPr="00AF5115">
              <w:rPr>
                <w:rFonts w:ascii="Calibri" w:hAnsi="Calibri" w:cs="Calibri"/>
              </w:rPr>
              <w:t>Major concerns or those that cannot be resolved should be referred to the Designated Officer.</w:t>
            </w:r>
          </w:p>
        </w:tc>
      </w:tr>
      <w:tr w:rsidR="00AF5115" w:rsidRPr="003B56B5" w14:paraId="0CFBF34A" w14:textId="77777777" w:rsidTr="00B538C8">
        <w:tc>
          <w:tcPr>
            <w:tcW w:w="3190" w:type="dxa"/>
            <w:shd w:val="clear" w:color="auto" w:fill="CBDEEB"/>
          </w:tcPr>
          <w:p w14:paraId="07F96316" w14:textId="77777777" w:rsidR="00AF5115" w:rsidRPr="00AF5115" w:rsidRDefault="00AF5115" w:rsidP="00B538C8">
            <w:pPr>
              <w:pStyle w:val="BodyText"/>
              <w:rPr>
                <w:rFonts w:ascii="Calibri" w:hAnsi="Calibri" w:cs="Calibri"/>
              </w:rPr>
            </w:pPr>
            <w:r w:rsidRPr="00AF5115">
              <w:rPr>
                <w:rFonts w:ascii="Calibri" w:hAnsi="Calibri" w:cs="Calibri"/>
              </w:rPr>
              <w:t>Review Officer (RO)</w:t>
            </w:r>
          </w:p>
        </w:tc>
        <w:tc>
          <w:tcPr>
            <w:tcW w:w="7123" w:type="dxa"/>
            <w:shd w:val="clear" w:color="auto" w:fill="CBDEEB"/>
          </w:tcPr>
          <w:p w14:paraId="055AF1D4" w14:textId="77777777" w:rsidR="00AF5115" w:rsidRPr="00AF5115" w:rsidRDefault="00AF5115" w:rsidP="00B538C8">
            <w:pPr>
              <w:pStyle w:val="BodyText"/>
              <w:rPr>
                <w:rFonts w:ascii="Calibri" w:hAnsi="Calibri" w:cs="Calibri"/>
              </w:rPr>
            </w:pPr>
            <w:r w:rsidRPr="00AF5115">
              <w:rPr>
                <w:rFonts w:ascii="Calibri" w:hAnsi="Calibri" w:cs="Calibri"/>
              </w:rPr>
              <w:t>A senior manager responsible for conducting procedural review when required.</w:t>
            </w:r>
          </w:p>
        </w:tc>
      </w:tr>
      <w:tr w:rsidR="00AF5115" w:rsidRPr="003B56B5" w14:paraId="48CDA5CA" w14:textId="77777777" w:rsidTr="00B538C8">
        <w:tc>
          <w:tcPr>
            <w:tcW w:w="3190" w:type="dxa"/>
            <w:shd w:val="clear" w:color="auto" w:fill="auto"/>
          </w:tcPr>
          <w:p w14:paraId="38B103DF" w14:textId="77777777" w:rsidR="00AF5115" w:rsidRPr="00AF5115" w:rsidRDefault="00AF5115" w:rsidP="00B538C8">
            <w:pPr>
              <w:pStyle w:val="BodyText"/>
              <w:rPr>
                <w:rFonts w:ascii="Calibri" w:hAnsi="Calibri" w:cs="Calibri"/>
              </w:rPr>
            </w:pPr>
          </w:p>
        </w:tc>
        <w:tc>
          <w:tcPr>
            <w:tcW w:w="7123" w:type="dxa"/>
            <w:shd w:val="clear" w:color="auto" w:fill="auto"/>
          </w:tcPr>
          <w:p w14:paraId="79EE5F5F" w14:textId="77777777" w:rsidR="00AF5115" w:rsidRPr="00AF5115" w:rsidRDefault="00AF5115" w:rsidP="00B538C8">
            <w:pPr>
              <w:pStyle w:val="BodyText"/>
              <w:rPr>
                <w:rFonts w:ascii="Calibri" w:hAnsi="Calibri" w:cs="Calibri"/>
              </w:rPr>
            </w:pPr>
          </w:p>
        </w:tc>
      </w:tr>
    </w:tbl>
    <w:p w14:paraId="145E0DFA" w14:textId="77777777" w:rsidR="00AF5115" w:rsidRPr="00AF5115" w:rsidRDefault="006121FC" w:rsidP="00AF5115">
      <w:pPr>
        <w:pStyle w:val="BodyText"/>
        <w:rPr>
          <w:rFonts w:ascii="Calibri" w:hAnsi="Calibri" w:cs="Calibri"/>
        </w:rPr>
      </w:pPr>
      <w:hyperlink w:anchor="_Appendix_2_Designated" w:history="1">
        <w:r w:rsidR="00AF5115" w:rsidRPr="00AF5115">
          <w:rPr>
            <w:rStyle w:val="Hyperlink"/>
            <w:rFonts w:ascii="Calibri" w:hAnsi="Calibri" w:cs="Calibri"/>
          </w:rPr>
          <w:t>Appendix 2</w:t>
        </w:r>
      </w:hyperlink>
      <w:r w:rsidR="00AF5115" w:rsidRPr="00AF5115">
        <w:rPr>
          <w:rFonts w:ascii="Calibri" w:hAnsi="Calibri" w:cs="Calibri"/>
        </w:rPr>
        <w:t xml:space="preserve"> provides a list of positions and nominated officers currently appointed to these roles.</w:t>
      </w:r>
    </w:p>
    <w:p w14:paraId="774AF041" w14:textId="77777777" w:rsidR="00AF5115" w:rsidRDefault="00AF5115" w:rsidP="00AF5115">
      <w:pPr>
        <w:pStyle w:val="BodyText"/>
      </w:pPr>
    </w:p>
    <w:p w14:paraId="60B9AEB4" w14:textId="2D817D90" w:rsidR="00AF5115" w:rsidRDefault="00AF5115" w:rsidP="00AF5115">
      <w:pPr>
        <w:pStyle w:val="Heading2"/>
      </w:pPr>
      <w:r>
        <w:br w:type="page"/>
      </w:r>
      <w:r>
        <w:lastRenderedPageBreak/>
        <w:t>Process for managing and investigating complaints and alleged breaches of the Code</w:t>
      </w:r>
    </w:p>
    <w:p w14:paraId="4E701F09" w14:textId="77777777" w:rsidR="00AF5115" w:rsidRPr="00AF5115" w:rsidRDefault="00AF5115" w:rsidP="00AF5115">
      <w:pPr>
        <w:pStyle w:val="BodyText"/>
        <w:rPr>
          <w:rFonts w:ascii="Calibri" w:hAnsi="Calibri" w:cs="Calibri"/>
        </w:rPr>
      </w:pPr>
      <w:r w:rsidRPr="00AF5115">
        <w:rPr>
          <w:rFonts w:ascii="Calibri" w:hAnsi="Calibri" w:cs="Calibri"/>
        </w:rPr>
        <w:t>FSS and PQ adopt the NHMRC recommended approach:</w:t>
      </w:r>
    </w:p>
    <w:p w14:paraId="3E636879" w14:textId="2AA2139A" w:rsidR="00AF5115" w:rsidRDefault="00AF5115" w:rsidP="00AF5115">
      <w:pPr>
        <w:pStyle w:val="BodyText"/>
      </w:pPr>
      <w:r w:rsidRPr="00235863">
        <w:rPr>
          <w:noProof/>
        </w:rPr>
        <w:drawing>
          <wp:inline distT="0" distB="0" distL="0" distR="0" wp14:anchorId="710EA1A6" wp14:editId="648DAFE7">
            <wp:extent cx="6486525" cy="7543800"/>
            <wp:effectExtent l="0" t="0" r="0" b="0"/>
            <wp:docPr id="29" name="Picture 6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screenshot of a social media pos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7543800"/>
                    </a:xfrm>
                    <a:prstGeom prst="rect">
                      <a:avLst/>
                    </a:prstGeom>
                    <a:noFill/>
                    <a:ln>
                      <a:noFill/>
                    </a:ln>
                  </pic:spPr>
                </pic:pic>
              </a:graphicData>
            </a:graphic>
          </wp:inline>
        </w:drawing>
      </w:r>
    </w:p>
    <w:p w14:paraId="06ABB963" w14:textId="77777777" w:rsidR="00AF5115" w:rsidRPr="00E857C9" w:rsidRDefault="00AF5115" w:rsidP="00AF5115">
      <w:pPr>
        <w:pStyle w:val="BodyText"/>
      </w:pPr>
      <w:r w:rsidRPr="00AF5115">
        <w:rPr>
          <w:rFonts w:ascii="Calibri" w:hAnsi="Calibri" w:cs="Calibri"/>
          <w:i/>
          <w:iCs/>
          <w:sz w:val="16"/>
          <w:szCs w:val="16"/>
        </w:rPr>
        <w:t>(source: Guide to Managing and Investigating potential breaches of the Australian Code for the Responsible Conduct of Research, 2018)</w:t>
      </w:r>
    </w:p>
    <w:p w14:paraId="04F3ACC3" w14:textId="77777777" w:rsidR="00AF5115" w:rsidRDefault="00AF5115" w:rsidP="00AF5115">
      <w:pPr>
        <w:pStyle w:val="Heading2"/>
      </w:pPr>
      <w:r>
        <w:lastRenderedPageBreak/>
        <w:t>Lodging a complaint</w:t>
      </w:r>
    </w:p>
    <w:p w14:paraId="1337653F" w14:textId="77777777" w:rsidR="00AF5115" w:rsidRPr="00AF5115" w:rsidRDefault="00AF5115" w:rsidP="00AF5115">
      <w:pPr>
        <w:pStyle w:val="BodyText"/>
        <w:rPr>
          <w:rFonts w:ascii="Calibri" w:hAnsi="Calibri" w:cs="Calibri"/>
        </w:rPr>
      </w:pPr>
      <w:r w:rsidRPr="00AF5115">
        <w:rPr>
          <w:rFonts w:ascii="Calibri" w:hAnsi="Calibri" w:cs="Calibri"/>
        </w:rPr>
        <w:t>Anyone who is concerned that a researcher has not acted responsibly should take action to report the issue to the Research Integrity Advisor or Designated Officer in a timely manner.</w:t>
      </w:r>
    </w:p>
    <w:p w14:paraId="4F33E266" w14:textId="77777777" w:rsidR="00AF5115" w:rsidRDefault="00AF5115" w:rsidP="00AF5115">
      <w:pPr>
        <w:pStyle w:val="Heading2"/>
      </w:pPr>
      <w:r>
        <w:t>Preliminary assessment</w:t>
      </w:r>
    </w:p>
    <w:p w14:paraId="14814BF5" w14:textId="77777777" w:rsidR="00AF5115" w:rsidRPr="00AF5115" w:rsidRDefault="00AF5115" w:rsidP="00AF5115">
      <w:pPr>
        <w:pStyle w:val="BodyText"/>
        <w:numPr>
          <w:ilvl w:val="0"/>
          <w:numId w:val="36"/>
        </w:numPr>
        <w:rPr>
          <w:rFonts w:ascii="Calibri" w:hAnsi="Calibri" w:cs="Calibri"/>
        </w:rPr>
      </w:pPr>
      <w:r w:rsidRPr="00AF5115">
        <w:rPr>
          <w:rFonts w:ascii="Calibri" w:hAnsi="Calibri" w:cs="Calibri"/>
        </w:rPr>
        <w:t>The assessment will be informed by the Code and the Guide and be conducted in accordance with this procedure.</w:t>
      </w:r>
    </w:p>
    <w:p w14:paraId="3F4BB4DE" w14:textId="77777777" w:rsidR="00AF5115" w:rsidRPr="00AF5115" w:rsidRDefault="00AF5115" w:rsidP="00AF5115">
      <w:pPr>
        <w:pStyle w:val="BodyText"/>
        <w:numPr>
          <w:ilvl w:val="0"/>
          <w:numId w:val="36"/>
        </w:numPr>
        <w:rPr>
          <w:rFonts w:ascii="Calibri" w:hAnsi="Calibri" w:cs="Calibri"/>
        </w:rPr>
      </w:pPr>
      <w:r w:rsidRPr="00AF5115">
        <w:rPr>
          <w:rFonts w:ascii="Calibri" w:hAnsi="Calibri" w:cs="Calibri"/>
        </w:rPr>
        <w:t>When a complaint or allegation is made, consideration will be given to whether immediate action needs to be taken, e.g. referral of allegations which are not related to research or if there is a risk of harm to humans, animals or the environment.</w:t>
      </w:r>
    </w:p>
    <w:p w14:paraId="566691B2" w14:textId="77777777" w:rsidR="00AF5115" w:rsidRPr="00AF5115" w:rsidRDefault="00AF5115" w:rsidP="00AF5115">
      <w:pPr>
        <w:pStyle w:val="BodyText"/>
        <w:numPr>
          <w:ilvl w:val="0"/>
          <w:numId w:val="36"/>
        </w:numPr>
        <w:rPr>
          <w:rFonts w:ascii="Calibri" w:hAnsi="Calibri" w:cs="Calibri"/>
        </w:rPr>
      </w:pPr>
      <w:r w:rsidRPr="00AF5115">
        <w:rPr>
          <w:rFonts w:ascii="Calibri" w:hAnsi="Calibri" w:cs="Calibri"/>
        </w:rPr>
        <w:t>Investigations / assessments in the workplace must ensure procedural fairness.</w:t>
      </w:r>
    </w:p>
    <w:p w14:paraId="37F04CD4" w14:textId="77777777" w:rsidR="00AF5115" w:rsidRPr="00AF5115" w:rsidRDefault="00AF5115" w:rsidP="00AF5115">
      <w:pPr>
        <w:pStyle w:val="BodyText"/>
        <w:numPr>
          <w:ilvl w:val="0"/>
          <w:numId w:val="36"/>
        </w:numPr>
        <w:rPr>
          <w:rFonts w:ascii="Calibri" w:hAnsi="Calibri" w:cs="Calibri"/>
        </w:rPr>
      </w:pPr>
      <w:r w:rsidRPr="00AF5115">
        <w:rPr>
          <w:rFonts w:ascii="Calibri" w:hAnsi="Calibri" w:cs="Calibri"/>
        </w:rPr>
        <w:t>Designated officers have the authority to secure all documents and evidence relating to the potential breach.</w:t>
      </w:r>
    </w:p>
    <w:p w14:paraId="18C041D3" w14:textId="77777777" w:rsidR="00AF5115" w:rsidRDefault="00AF5115" w:rsidP="00AF5115">
      <w:pPr>
        <w:pStyle w:val="Heading2"/>
      </w:pPr>
      <w:r>
        <w:t>Internal inquiry</w:t>
      </w:r>
    </w:p>
    <w:p w14:paraId="22AA0935" w14:textId="77777777" w:rsidR="00AF5115" w:rsidRPr="00AF5115" w:rsidRDefault="00AF5115" w:rsidP="00AF5115">
      <w:pPr>
        <w:pStyle w:val="BodyText"/>
        <w:numPr>
          <w:ilvl w:val="0"/>
          <w:numId w:val="37"/>
        </w:numPr>
        <w:rPr>
          <w:rFonts w:ascii="Calibri" w:hAnsi="Calibri" w:cs="Calibri"/>
        </w:rPr>
      </w:pPr>
      <w:r w:rsidRPr="00AF5115">
        <w:rPr>
          <w:rFonts w:ascii="Calibri" w:hAnsi="Calibri" w:cs="Calibri"/>
        </w:rPr>
        <w:t>A panel may be constituted to assess the allegation where a significant breach of the Code has been identified.</w:t>
      </w:r>
    </w:p>
    <w:p w14:paraId="702FE9A7" w14:textId="77777777" w:rsidR="00AF5115" w:rsidRPr="00AF5115" w:rsidRDefault="00AF5115" w:rsidP="00AF5115">
      <w:pPr>
        <w:pStyle w:val="BodyText"/>
        <w:numPr>
          <w:ilvl w:val="0"/>
          <w:numId w:val="37"/>
        </w:numPr>
        <w:rPr>
          <w:rFonts w:ascii="Calibri" w:hAnsi="Calibri" w:cs="Calibri"/>
        </w:rPr>
      </w:pPr>
      <w:r w:rsidRPr="00AF5115">
        <w:rPr>
          <w:rFonts w:ascii="Calibri" w:hAnsi="Calibri" w:cs="Calibri"/>
        </w:rPr>
        <w:t>The panel should be formed to provide appropriate knowledge and expertise.</w:t>
      </w:r>
    </w:p>
    <w:p w14:paraId="79239CBB" w14:textId="77777777" w:rsidR="00AF5115" w:rsidRPr="00AF5115" w:rsidRDefault="00AF5115" w:rsidP="00AF5115">
      <w:pPr>
        <w:pStyle w:val="BodyText"/>
        <w:numPr>
          <w:ilvl w:val="0"/>
          <w:numId w:val="37"/>
        </w:numPr>
        <w:rPr>
          <w:rFonts w:ascii="Calibri" w:hAnsi="Calibri" w:cs="Calibri"/>
        </w:rPr>
      </w:pPr>
      <w:r w:rsidRPr="00AF5115">
        <w:rPr>
          <w:rFonts w:ascii="Calibri" w:hAnsi="Calibri" w:cs="Calibri"/>
        </w:rPr>
        <w:t>Appointed members must be free from bias or conflicts of interest and be seen to be so.</w:t>
      </w:r>
    </w:p>
    <w:p w14:paraId="6640B5E1" w14:textId="77777777" w:rsidR="00AF5115" w:rsidRPr="00AF5115" w:rsidRDefault="00AF5115" w:rsidP="00AF5115">
      <w:pPr>
        <w:pStyle w:val="BodyText"/>
        <w:numPr>
          <w:ilvl w:val="0"/>
          <w:numId w:val="37"/>
        </w:numPr>
        <w:rPr>
          <w:rFonts w:ascii="Calibri" w:hAnsi="Calibri" w:cs="Calibri"/>
        </w:rPr>
      </w:pPr>
      <w:r w:rsidRPr="00AF5115">
        <w:rPr>
          <w:rFonts w:ascii="Calibri" w:hAnsi="Calibri" w:cs="Calibri"/>
        </w:rPr>
        <w:t>At least one member should have experience on similar panels or relevant experience or expertise.</w:t>
      </w:r>
    </w:p>
    <w:p w14:paraId="5B8E73FE" w14:textId="77777777" w:rsidR="00AF5115" w:rsidRPr="00AF5115" w:rsidRDefault="00AF5115" w:rsidP="00AF5115">
      <w:pPr>
        <w:pStyle w:val="BodyText"/>
        <w:numPr>
          <w:ilvl w:val="0"/>
          <w:numId w:val="37"/>
        </w:numPr>
        <w:rPr>
          <w:rFonts w:ascii="Calibri" w:hAnsi="Calibri" w:cs="Calibri"/>
        </w:rPr>
      </w:pPr>
      <w:r w:rsidRPr="00AF5115">
        <w:rPr>
          <w:rFonts w:ascii="Calibri" w:hAnsi="Calibri" w:cs="Calibri"/>
        </w:rPr>
        <w:t>The panel must provide a written record of its findings, and the reasons for these findings, to the Designated Officer and the person who is accused of breaching the Code.</w:t>
      </w:r>
    </w:p>
    <w:p w14:paraId="0304CFC3" w14:textId="77777777" w:rsidR="00AF5115" w:rsidRPr="00AF5115" w:rsidRDefault="00AF5115" w:rsidP="00AF5115">
      <w:pPr>
        <w:pStyle w:val="BodyText"/>
        <w:numPr>
          <w:ilvl w:val="0"/>
          <w:numId w:val="37"/>
        </w:numPr>
        <w:rPr>
          <w:rFonts w:ascii="Calibri" w:hAnsi="Calibri" w:cs="Calibri"/>
        </w:rPr>
      </w:pPr>
      <w:r w:rsidRPr="00AF5115">
        <w:rPr>
          <w:rFonts w:ascii="Calibri" w:hAnsi="Calibri" w:cs="Calibri"/>
        </w:rPr>
        <w:t>Appeals should be directed to the Review Officer in the first instance and if unresolved, to the General Manager PQ.</w:t>
      </w:r>
    </w:p>
    <w:p w14:paraId="6AA3224F" w14:textId="77777777" w:rsidR="00AF5115" w:rsidRDefault="00AF5115" w:rsidP="00AF5115">
      <w:pPr>
        <w:pStyle w:val="Heading2"/>
      </w:pPr>
      <w:r>
        <w:t>Independent external inquiry</w:t>
      </w:r>
    </w:p>
    <w:p w14:paraId="0F6832EE" w14:textId="77777777" w:rsidR="00AF5115" w:rsidRPr="00AF5115" w:rsidRDefault="00AF5115" w:rsidP="00AF5115">
      <w:pPr>
        <w:pStyle w:val="BodyText"/>
        <w:numPr>
          <w:ilvl w:val="0"/>
          <w:numId w:val="38"/>
        </w:numPr>
        <w:rPr>
          <w:rFonts w:ascii="Calibri" w:hAnsi="Calibri" w:cs="Calibri"/>
        </w:rPr>
      </w:pPr>
      <w:r w:rsidRPr="00AF5115">
        <w:rPr>
          <w:rFonts w:ascii="Calibri" w:hAnsi="Calibri" w:cs="Calibri"/>
        </w:rPr>
        <w:t>Where the consequences of the inquiry are likely to be serious, and the need to maintain public confidence in research is paramount, the Chief Executive or their delegated officer should be alerted and advised to consider establishing an independent external inquiry.</w:t>
      </w:r>
    </w:p>
    <w:p w14:paraId="2B76931A" w14:textId="77777777" w:rsidR="00AF5115" w:rsidRPr="00AF5115" w:rsidRDefault="00AF5115" w:rsidP="00AF5115">
      <w:pPr>
        <w:pStyle w:val="BodyText"/>
        <w:numPr>
          <w:ilvl w:val="0"/>
          <w:numId w:val="38"/>
        </w:numPr>
        <w:rPr>
          <w:rFonts w:ascii="Calibri" w:hAnsi="Calibri" w:cs="Calibri"/>
        </w:rPr>
      </w:pPr>
      <w:r w:rsidRPr="00AF5115">
        <w:rPr>
          <w:rFonts w:ascii="Calibri" w:hAnsi="Calibri" w:cs="Calibri"/>
        </w:rPr>
        <w:t>The terms of reference for the panel will be developed in accordance with the NHMRC sample checklist contained in the Guide.</w:t>
      </w:r>
    </w:p>
    <w:p w14:paraId="7EF62096" w14:textId="77777777" w:rsidR="00AF5115" w:rsidRPr="00AF5115" w:rsidRDefault="00AF5115" w:rsidP="00AF5115">
      <w:pPr>
        <w:pStyle w:val="BodyText"/>
        <w:numPr>
          <w:ilvl w:val="0"/>
          <w:numId w:val="38"/>
        </w:numPr>
        <w:rPr>
          <w:rFonts w:ascii="Calibri" w:hAnsi="Calibri" w:cs="Calibri"/>
        </w:rPr>
      </w:pPr>
      <w:r w:rsidRPr="00AF5115">
        <w:rPr>
          <w:rFonts w:ascii="Calibri" w:hAnsi="Calibri" w:cs="Calibri"/>
        </w:rPr>
        <w:t>Panel members must not be employed by the Department, have any current or recent engagement with the Department or be subject to a reasonable perception of bias.</w:t>
      </w:r>
    </w:p>
    <w:p w14:paraId="434D1A05" w14:textId="77777777" w:rsidR="00AF5115" w:rsidRPr="00AF5115" w:rsidRDefault="00AF5115" w:rsidP="00AF5115">
      <w:pPr>
        <w:pStyle w:val="BodyText"/>
        <w:numPr>
          <w:ilvl w:val="0"/>
          <w:numId w:val="39"/>
        </w:numPr>
        <w:rPr>
          <w:rFonts w:ascii="Calibri" w:hAnsi="Calibri" w:cs="Calibri"/>
        </w:rPr>
      </w:pPr>
      <w:r w:rsidRPr="00AF5115">
        <w:rPr>
          <w:rFonts w:ascii="Calibri" w:hAnsi="Calibri" w:cs="Calibri"/>
        </w:rPr>
        <w:t>The composition of the panel will be determined by the General Manager PQ and will have a minimum of three representatives providing legal expertise, knowledge and expertise in a relevant field of research, but not necessarily directly in the research area of the allegation.</w:t>
      </w:r>
    </w:p>
    <w:p w14:paraId="7FEC11A5" w14:textId="77777777" w:rsidR="00AF5115" w:rsidRPr="00AF5115" w:rsidRDefault="00AF5115" w:rsidP="00AF5115">
      <w:pPr>
        <w:pStyle w:val="BodyText"/>
        <w:numPr>
          <w:ilvl w:val="0"/>
          <w:numId w:val="39"/>
        </w:numPr>
        <w:rPr>
          <w:rFonts w:ascii="Calibri" w:hAnsi="Calibri" w:cs="Calibri"/>
        </w:rPr>
      </w:pPr>
      <w:r w:rsidRPr="00AF5115">
        <w:rPr>
          <w:rFonts w:ascii="Calibri" w:hAnsi="Calibri" w:cs="Calibri"/>
        </w:rPr>
        <w:lastRenderedPageBreak/>
        <w:t>The panel should be assisted by a legally qualified person acting as ‘counsel assisting’ in the preparation of the case.</w:t>
      </w:r>
    </w:p>
    <w:p w14:paraId="1E6DF35C" w14:textId="77777777" w:rsidR="00AF5115" w:rsidRPr="00AF5115" w:rsidRDefault="00AF5115" w:rsidP="00AF5115">
      <w:pPr>
        <w:pStyle w:val="BodyText"/>
        <w:numPr>
          <w:ilvl w:val="0"/>
          <w:numId w:val="39"/>
        </w:numPr>
        <w:rPr>
          <w:rFonts w:ascii="Calibri" w:hAnsi="Calibri" w:cs="Calibri"/>
        </w:rPr>
      </w:pPr>
      <w:r w:rsidRPr="00AF5115">
        <w:rPr>
          <w:rFonts w:ascii="Calibri" w:hAnsi="Calibri" w:cs="Calibri"/>
        </w:rPr>
        <w:t>The person facing the allegation is entitled to legal representation.</w:t>
      </w:r>
    </w:p>
    <w:p w14:paraId="7B1DD32E" w14:textId="77777777" w:rsidR="00AF5115" w:rsidRPr="00AF5115" w:rsidRDefault="00AF5115" w:rsidP="00AF5115">
      <w:pPr>
        <w:pStyle w:val="BodyText"/>
        <w:numPr>
          <w:ilvl w:val="0"/>
          <w:numId w:val="39"/>
        </w:numPr>
        <w:rPr>
          <w:rFonts w:ascii="Calibri" w:hAnsi="Calibri" w:cs="Calibri"/>
        </w:rPr>
      </w:pPr>
      <w:r w:rsidRPr="00AF5115">
        <w:rPr>
          <w:rFonts w:ascii="Calibri" w:hAnsi="Calibri" w:cs="Calibri"/>
        </w:rPr>
        <w:t>The person subject to the inquiry may have an entitlement to appeal to a higher authority.</w:t>
      </w:r>
    </w:p>
    <w:p w14:paraId="423B85D8" w14:textId="77777777" w:rsidR="00AF5115" w:rsidRDefault="00AF5115" w:rsidP="00AF5115">
      <w:pPr>
        <w:pStyle w:val="Heading2"/>
      </w:pPr>
      <w:r>
        <w:t>Procedural fairness</w:t>
      </w:r>
    </w:p>
    <w:p w14:paraId="008A8C4F" w14:textId="77777777" w:rsidR="00AF5115" w:rsidRPr="00AF5115" w:rsidRDefault="00AF5115" w:rsidP="00AF5115">
      <w:pPr>
        <w:pStyle w:val="BodyText"/>
        <w:numPr>
          <w:ilvl w:val="0"/>
          <w:numId w:val="39"/>
        </w:numPr>
        <w:rPr>
          <w:rFonts w:ascii="Calibri" w:hAnsi="Calibri" w:cs="Calibri"/>
        </w:rPr>
      </w:pPr>
      <w:r w:rsidRPr="00AF5115">
        <w:rPr>
          <w:rFonts w:ascii="Calibri" w:hAnsi="Calibri" w:cs="Calibri"/>
        </w:rPr>
        <w:t>A person who is the subject of an allegation must be treated fairly and provided with opportunities to respond to allegation/s in writing within reasonable timeframes.</w:t>
      </w:r>
    </w:p>
    <w:p w14:paraId="5E356832" w14:textId="77777777" w:rsidR="00AF5115" w:rsidRPr="00AF5115" w:rsidRDefault="00AF5115" w:rsidP="00AF5115">
      <w:pPr>
        <w:pStyle w:val="BodyText"/>
        <w:numPr>
          <w:ilvl w:val="0"/>
          <w:numId w:val="39"/>
        </w:numPr>
        <w:rPr>
          <w:rFonts w:ascii="Calibri" w:hAnsi="Calibri" w:cs="Calibri"/>
        </w:rPr>
      </w:pPr>
      <w:r w:rsidRPr="00AF5115">
        <w:rPr>
          <w:rFonts w:ascii="Calibri" w:hAnsi="Calibri" w:cs="Calibri"/>
        </w:rPr>
        <w:t>Any panel formed to conduct an inquiry that may lead to disciplinary action must be free from bias or preconception, and panel members must conduct themselves in a manner which demonstrates this.</w:t>
      </w:r>
    </w:p>
    <w:p w14:paraId="41EB3A87" w14:textId="77777777" w:rsidR="00AF5115" w:rsidRDefault="00AF5115" w:rsidP="00AF5115">
      <w:pPr>
        <w:pStyle w:val="Heading2"/>
      </w:pPr>
      <w:r>
        <w:t>Possible sanctions</w:t>
      </w:r>
    </w:p>
    <w:p w14:paraId="783135B7" w14:textId="77777777" w:rsidR="00AF5115" w:rsidRPr="00AF5115" w:rsidRDefault="00AF5115" w:rsidP="00AF5115">
      <w:pPr>
        <w:pStyle w:val="BodyText"/>
        <w:rPr>
          <w:rFonts w:ascii="Calibri" w:hAnsi="Calibri" w:cs="Calibri"/>
        </w:rPr>
      </w:pPr>
      <w:r w:rsidRPr="00AF5115">
        <w:rPr>
          <w:rFonts w:ascii="Calibri" w:hAnsi="Calibri" w:cs="Calibri"/>
        </w:rPr>
        <w:t>The process for addressing breaches of the Code must be consistent with relevant workplace agreements, policies and the law.</w:t>
      </w:r>
    </w:p>
    <w:p w14:paraId="12E6A42C" w14:textId="77777777" w:rsidR="00AF5115" w:rsidRPr="00AF5115" w:rsidRDefault="00AF5115" w:rsidP="00AF5115">
      <w:pPr>
        <w:pStyle w:val="BodyText"/>
        <w:rPr>
          <w:rFonts w:ascii="Calibri" w:hAnsi="Calibri" w:cs="Calibri"/>
        </w:rPr>
      </w:pPr>
      <w:r w:rsidRPr="00AF5115">
        <w:rPr>
          <w:rFonts w:ascii="Calibri" w:hAnsi="Calibri" w:cs="Calibri"/>
        </w:rPr>
        <w:t>Possible sanctions may include but are not limited to:</w:t>
      </w:r>
    </w:p>
    <w:p w14:paraId="3534D4AC"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correction of public records</w:t>
      </w:r>
    </w:p>
    <w:p w14:paraId="46CF9629"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disciplinary action under employment agreements and contracts</w:t>
      </w:r>
    </w:p>
    <w:p w14:paraId="24C08E45"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training</w:t>
      </w:r>
    </w:p>
    <w:p w14:paraId="0A1EABB6"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compliance plans</w:t>
      </w:r>
    </w:p>
    <w:p w14:paraId="55AE12E6"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corrective action plans</w:t>
      </w:r>
    </w:p>
    <w:p w14:paraId="1217DAB9"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letter of reprimand</w:t>
      </w:r>
    </w:p>
    <w:p w14:paraId="382EA487"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supervision</w:t>
      </w:r>
    </w:p>
    <w:p w14:paraId="706AA728"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suspension</w:t>
      </w:r>
    </w:p>
    <w:p w14:paraId="469B9ABF" w14:textId="77777777" w:rsidR="00AF5115" w:rsidRPr="00AF5115" w:rsidRDefault="00AF5115" w:rsidP="00AF5115">
      <w:pPr>
        <w:pStyle w:val="BodyText"/>
        <w:numPr>
          <w:ilvl w:val="0"/>
          <w:numId w:val="40"/>
        </w:numPr>
        <w:rPr>
          <w:rFonts w:ascii="Calibri" w:hAnsi="Calibri" w:cs="Calibri"/>
        </w:rPr>
      </w:pPr>
      <w:r w:rsidRPr="00AF5115">
        <w:rPr>
          <w:rFonts w:ascii="Calibri" w:hAnsi="Calibri" w:cs="Calibri"/>
        </w:rPr>
        <w:t>termination of project and/or funds.</w:t>
      </w:r>
    </w:p>
    <w:p w14:paraId="5A8C7CE8" w14:textId="77777777" w:rsidR="00AF5115" w:rsidRDefault="00AF5115" w:rsidP="00AF5115">
      <w:pPr>
        <w:pStyle w:val="Heading2"/>
      </w:pPr>
      <w:r>
        <w:t>Timeframes</w:t>
      </w:r>
    </w:p>
    <w:p w14:paraId="5AA0C338" w14:textId="77777777" w:rsidR="00AF5115" w:rsidRPr="00AF5115" w:rsidRDefault="00AF5115" w:rsidP="00AF5115">
      <w:pPr>
        <w:pStyle w:val="BodyText"/>
        <w:rPr>
          <w:rFonts w:ascii="Calibri" w:hAnsi="Calibri" w:cs="Calibri"/>
        </w:rPr>
      </w:pPr>
      <w:r w:rsidRPr="00AF5115">
        <w:rPr>
          <w:rFonts w:ascii="Calibri" w:hAnsi="Calibri" w:cs="Calibri"/>
        </w:rPr>
        <w:t>Acknowledgement of receipt of the complaint must be issued in writing to the complainant within five working days.</w:t>
      </w:r>
    </w:p>
    <w:p w14:paraId="646E2D9C" w14:textId="77777777" w:rsidR="00AF5115" w:rsidRPr="00AF5115" w:rsidRDefault="00AF5115" w:rsidP="00AF5115">
      <w:pPr>
        <w:pStyle w:val="BodyText"/>
        <w:rPr>
          <w:rFonts w:ascii="Calibri" w:hAnsi="Calibri" w:cs="Calibri"/>
        </w:rPr>
      </w:pPr>
      <w:r w:rsidRPr="00AF5115">
        <w:rPr>
          <w:rFonts w:ascii="Calibri" w:hAnsi="Calibri" w:cs="Calibri"/>
        </w:rPr>
        <w:t>All minor complaints should be resolved within 30 calendar days.</w:t>
      </w:r>
    </w:p>
    <w:p w14:paraId="71D89395" w14:textId="77777777" w:rsidR="00AF5115" w:rsidRPr="00AF5115" w:rsidRDefault="00AF5115" w:rsidP="00AF5115">
      <w:pPr>
        <w:pStyle w:val="BodyText"/>
        <w:rPr>
          <w:rFonts w:ascii="Calibri" w:hAnsi="Calibri" w:cs="Calibri"/>
        </w:rPr>
      </w:pPr>
      <w:r w:rsidRPr="00AF5115">
        <w:rPr>
          <w:rFonts w:ascii="Calibri" w:hAnsi="Calibri" w:cs="Calibri"/>
        </w:rPr>
        <w:t>An update will be provided (to the applicant and person who has allegedly breached the Code) by the Assessment Officer or Designated Officer every 30 days while a complaint is unresolved.</w:t>
      </w:r>
    </w:p>
    <w:p w14:paraId="1CA2BA23" w14:textId="77777777" w:rsidR="00AF5115" w:rsidRDefault="00AF5115" w:rsidP="00AF5115">
      <w:pPr>
        <w:pStyle w:val="Heading1"/>
      </w:pPr>
      <w:r>
        <w:lastRenderedPageBreak/>
        <w:t>References</w:t>
      </w:r>
    </w:p>
    <w:p w14:paraId="29CB7FB2" w14:textId="77777777" w:rsidR="00AF5115" w:rsidRPr="00AF5115" w:rsidRDefault="00AF5115" w:rsidP="00AF5115">
      <w:pPr>
        <w:pStyle w:val="ListNumber"/>
        <w:numPr>
          <w:ilvl w:val="5"/>
          <w:numId w:val="20"/>
        </w:numPr>
        <w:rPr>
          <w:rFonts w:ascii="Calibri" w:hAnsi="Calibri" w:cs="Calibri"/>
        </w:rPr>
      </w:pPr>
      <w:r w:rsidRPr="00AF5115">
        <w:rPr>
          <w:rFonts w:ascii="Calibri" w:hAnsi="Calibri" w:cs="Calibri"/>
        </w:rPr>
        <w:t xml:space="preserve">National Health and Medical Research Council 2007 (2018 update), </w:t>
      </w:r>
      <w:r w:rsidRPr="00AF5115">
        <w:rPr>
          <w:rFonts w:ascii="Calibri" w:hAnsi="Calibri" w:cs="Calibri"/>
          <w:i/>
        </w:rPr>
        <w:t>National statement on ethical conduct in human research</w:t>
      </w:r>
      <w:r w:rsidRPr="00AF5115">
        <w:rPr>
          <w:rFonts w:ascii="Calibri" w:hAnsi="Calibri" w:cs="Calibri"/>
        </w:rPr>
        <w:t xml:space="preserve">, NHMRC, Canberra. Available from: </w:t>
      </w:r>
      <w:hyperlink r:id="rId8" w:history="1">
        <w:r w:rsidRPr="00AF5115">
          <w:rPr>
            <w:rStyle w:val="Hyperlink"/>
            <w:rFonts w:ascii="Calibri" w:hAnsi="Calibri" w:cs="Calibri"/>
          </w:rPr>
          <w:t>https://www.nhmrc.gov.au/about-us/publications/national-statement-ethical-conduct-human-research-2007-updated-2018</w:t>
        </w:r>
      </w:hyperlink>
    </w:p>
    <w:p w14:paraId="7EEEA53B" w14:textId="77777777" w:rsidR="00AF5115" w:rsidRPr="00AF5115" w:rsidRDefault="00AF5115" w:rsidP="00AF5115">
      <w:pPr>
        <w:pStyle w:val="ListNumber"/>
        <w:numPr>
          <w:ilvl w:val="5"/>
          <w:numId w:val="20"/>
        </w:numPr>
        <w:rPr>
          <w:rFonts w:ascii="Calibri" w:hAnsi="Calibri" w:cs="Calibri"/>
        </w:rPr>
      </w:pPr>
      <w:r w:rsidRPr="00AF5115">
        <w:rPr>
          <w:rFonts w:ascii="Calibri" w:hAnsi="Calibri" w:cs="Calibri"/>
        </w:rPr>
        <w:t xml:space="preserve">National Health and Medical Research Council 2018, </w:t>
      </w:r>
      <w:r w:rsidRPr="00AF5115">
        <w:rPr>
          <w:rFonts w:ascii="Calibri" w:hAnsi="Calibri" w:cs="Calibri"/>
          <w:i/>
        </w:rPr>
        <w:t>Australian code for responsible conduct of research</w:t>
      </w:r>
      <w:r w:rsidRPr="00AF5115">
        <w:rPr>
          <w:rFonts w:ascii="Calibri" w:hAnsi="Calibri" w:cs="Calibri"/>
        </w:rPr>
        <w:t>, NHMRC, Canberra, Available from</w:t>
      </w:r>
      <w:r w:rsidRPr="00AF5115" w:rsidDel="00964CFF">
        <w:rPr>
          <w:rFonts w:ascii="Calibri" w:hAnsi="Calibri" w:cs="Calibri"/>
        </w:rPr>
        <w:t xml:space="preserve"> </w:t>
      </w:r>
      <w:hyperlink r:id="rId9" w:history="1">
        <w:r w:rsidRPr="00AF5115">
          <w:rPr>
            <w:rStyle w:val="Hyperlink"/>
            <w:rFonts w:ascii="Calibri" w:hAnsi="Calibri" w:cs="Calibri"/>
          </w:rPr>
          <w:t>https://www.nhmrc.gov.au/about-us/publications/australian-code-responsible-conduct-research-2018</w:t>
        </w:r>
      </w:hyperlink>
      <w:r w:rsidRPr="00AF5115">
        <w:rPr>
          <w:rFonts w:ascii="Calibri" w:hAnsi="Calibri" w:cs="Calibri"/>
        </w:rPr>
        <w:t xml:space="preserve"> </w:t>
      </w:r>
    </w:p>
    <w:p w14:paraId="2445B2E9" w14:textId="77777777" w:rsidR="00AF5115" w:rsidRPr="00AF5115" w:rsidRDefault="00AF5115" w:rsidP="00AF5115">
      <w:pPr>
        <w:pStyle w:val="ListNumber"/>
        <w:numPr>
          <w:ilvl w:val="5"/>
          <w:numId w:val="20"/>
        </w:numPr>
        <w:rPr>
          <w:rFonts w:ascii="Calibri" w:hAnsi="Calibri" w:cs="Calibri"/>
        </w:rPr>
      </w:pPr>
      <w:r w:rsidRPr="00AF5115">
        <w:rPr>
          <w:rFonts w:ascii="Calibri" w:hAnsi="Calibri" w:cs="Calibri"/>
        </w:rPr>
        <w:t xml:space="preserve">National Health and Medical Research Council 2012, </w:t>
      </w:r>
      <w:r w:rsidRPr="00AF5115">
        <w:rPr>
          <w:rFonts w:ascii="Calibri" w:hAnsi="Calibri" w:cs="Calibri"/>
          <w:i/>
        </w:rPr>
        <w:t>Australian code for the care and use of animals for scientific purposes, 8</w:t>
      </w:r>
      <w:r w:rsidRPr="00AF5115">
        <w:rPr>
          <w:rFonts w:ascii="Calibri" w:hAnsi="Calibri" w:cs="Calibri"/>
          <w:i/>
          <w:vertAlign w:val="superscript"/>
        </w:rPr>
        <w:t>th</w:t>
      </w:r>
      <w:r w:rsidRPr="00AF5115">
        <w:rPr>
          <w:rFonts w:ascii="Calibri" w:hAnsi="Calibri" w:cs="Calibri"/>
          <w:i/>
        </w:rPr>
        <w:t xml:space="preserve"> ed. </w:t>
      </w:r>
      <w:r w:rsidRPr="00AF5115">
        <w:rPr>
          <w:rFonts w:ascii="Calibri" w:hAnsi="Calibri" w:cs="Calibri"/>
        </w:rPr>
        <w:t xml:space="preserve">NHMRC, Canberra. Available from: </w:t>
      </w:r>
      <w:hyperlink r:id="rId10" w:history="1">
        <w:r w:rsidRPr="00AF5115">
          <w:rPr>
            <w:rStyle w:val="Hyperlink"/>
            <w:rFonts w:ascii="Calibri" w:hAnsi="Calibri" w:cs="Calibri"/>
          </w:rPr>
          <w:t>https://www.nhmrc.gov.au/about-us/publications/australian-code-care-and-use-animals-scientific-purposes/australian-code-care-and-use-animals-scientific-purposes-code</w:t>
        </w:r>
      </w:hyperlink>
    </w:p>
    <w:p w14:paraId="20ED4C78" w14:textId="77777777" w:rsidR="00AF5115" w:rsidRPr="00AF5115" w:rsidRDefault="006121FC" w:rsidP="00AF5115">
      <w:pPr>
        <w:pStyle w:val="ListNumber"/>
        <w:numPr>
          <w:ilvl w:val="5"/>
          <w:numId w:val="20"/>
        </w:numPr>
        <w:rPr>
          <w:rFonts w:ascii="Calibri" w:hAnsi="Calibri" w:cs="Calibri"/>
        </w:rPr>
      </w:pPr>
      <w:hyperlink r:id="rId11" w:tgtFrame="_blank" w:history="1">
        <w:r w:rsidR="00AF5115" w:rsidRPr="00AF5115">
          <w:rPr>
            <w:rFonts w:ascii="Calibri" w:hAnsi="Calibri" w:cs="Calibri"/>
          </w:rPr>
          <w:t>National Health and Medical Research Council 2018, Guide to Managing and Investigating Potential Breaches of the Australian Code for the Responsible Conduct of Research, 2018</w:t>
        </w:r>
      </w:hyperlink>
      <w:r w:rsidR="00AF5115" w:rsidRPr="00AF5115">
        <w:rPr>
          <w:rFonts w:ascii="Calibri" w:hAnsi="Calibri" w:cs="Calibri"/>
        </w:rPr>
        <w:t xml:space="preserve">. Available from: </w:t>
      </w:r>
      <w:hyperlink r:id="rId12" w:history="1">
        <w:r w:rsidR="00AF5115" w:rsidRPr="00AF5115">
          <w:rPr>
            <w:rStyle w:val="Hyperlink"/>
            <w:rFonts w:ascii="Calibri" w:hAnsi="Calibri" w:cs="Calibri"/>
          </w:rPr>
          <w:t>https://www.nhmrc.gov.au/sites/default/files/documents/attachments/guide-managing-investigating-potential-breaches.pdf</w:t>
        </w:r>
      </w:hyperlink>
      <w:r w:rsidR="00AF5115" w:rsidRPr="00AF5115">
        <w:rPr>
          <w:rFonts w:ascii="Calibri" w:hAnsi="Calibri" w:cs="Calibri"/>
        </w:rPr>
        <w:t xml:space="preserve"> </w:t>
      </w:r>
    </w:p>
    <w:p w14:paraId="4A9B576F" w14:textId="77777777" w:rsidR="00AF5115" w:rsidRDefault="00AF5115" w:rsidP="00AF5115">
      <w:pPr>
        <w:pStyle w:val="Heading2"/>
      </w:pPr>
      <w:r>
        <w:t>Associated documentation</w:t>
      </w:r>
    </w:p>
    <w:p w14:paraId="44760DDF"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FSS HEC terms of reference QIS 10664</w:t>
      </w:r>
    </w:p>
    <w:p w14:paraId="7FFF07F6"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FSS AEC terms of reference QIS 10642</w:t>
      </w:r>
    </w:p>
    <w:p w14:paraId="75E17468"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Health Support Queensland research guidelines QIS 30900</w:t>
      </w:r>
    </w:p>
    <w:p w14:paraId="653BA65A"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National Health and Medical Research Council 2019, Authorship: A guide supporting the Australian Code for the Responsible Conduct of Research.</w:t>
      </w:r>
    </w:p>
    <w:p w14:paraId="3C69AC2D"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National Health and Medical Research Council 2019, Management of Data and Information in Research</w:t>
      </w:r>
    </w:p>
    <w:p w14:paraId="3CFF2040"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National Health and Medical Research Council 2019, Peer Review: A guide supporting the Australian Code for the Responsible Conduct of Research</w:t>
      </w:r>
    </w:p>
    <w:p w14:paraId="2285124A"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National Health and Medical Research Council 2019, Disclosing conflicts of interest and management of conflicts of interest</w:t>
      </w:r>
    </w:p>
    <w:p w14:paraId="661B6EF5"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National Health and Medical Research Council 2019, Supervision: A guide supporting the Australian Code for the Responsible Conduct of Research</w:t>
      </w:r>
    </w:p>
    <w:p w14:paraId="457C912F" w14:textId="77777777" w:rsidR="00AF5115" w:rsidRPr="00AF5115" w:rsidRDefault="00AF5115" w:rsidP="00AF5115">
      <w:pPr>
        <w:pStyle w:val="ListBullet"/>
        <w:numPr>
          <w:ilvl w:val="0"/>
          <w:numId w:val="41"/>
        </w:numPr>
        <w:rPr>
          <w:rFonts w:ascii="Calibri" w:hAnsi="Calibri" w:cs="Calibri"/>
          <w:sz w:val="24"/>
        </w:rPr>
      </w:pPr>
      <w:r w:rsidRPr="00AF5115">
        <w:rPr>
          <w:rFonts w:ascii="Calibri" w:hAnsi="Calibri" w:cs="Calibri"/>
          <w:sz w:val="24"/>
        </w:rPr>
        <w:t>National Health and Medical Research Council 2019, Collaborative Research: A guide supporting the Australian Code for the Responsible Conduct of Research</w:t>
      </w:r>
    </w:p>
    <w:p w14:paraId="56DA8C4B" w14:textId="77777777" w:rsidR="00AF5115" w:rsidRDefault="00AF5115" w:rsidP="00AF5115">
      <w:pPr>
        <w:pStyle w:val="ListBullet"/>
        <w:numPr>
          <w:ilvl w:val="0"/>
          <w:numId w:val="0"/>
        </w:numPr>
        <w:ind w:left="284" w:hanging="284"/>
      </w:pPr>
    </w:p>
    <w:p w14:paraId="1944F962" w14:textId="77777777" w:rsidR="00AF5115" w:rsidRDefault="00AF5115" w:rsidP="00AF5115">
      <w:pPr>
        <w:pStyle w:val="Heading1"/>
      </w:pPr>
      <w:r>
        <w:br w:type="page"/>
      </w:r>
      <w:r>
        <w:lastRenderedPageBreak/>
        <w:t>Appendix 1</w:t>
      </w:r>
      <w:r>
        <w:tab/>
        <w:t xml:space="preserve">Examples of breaches of the Code </w:t>
      </w:r>
    </w:p>
    <w:p w14:paraId="061FD9CE" w14:textId="77777777" w:rsidR="00AF5115" w:rsidRPr="00AF5115" w:rsidRDefault="00AF5115" w:rsidP="00AF5115">
      <w:pPr>
        <w:pStyle w:val="TableTextLeft"/>
        <w:rPr>
          <w:rFonts w:ascii="Calibri" w:hAnsi="Calibri" w:cs="Calibri"/>
          <w:sz w:val="24"/>
        </w:rPr>
      </w:pPr>
      <w:r w:rsidRPr="00AF5115">
        <w:rPr>
          <w:rFonts w:ascii="Calibri" w:hAnsi="Calibri" w:cs="Calibri"/>
          <w:sz w:val="24"/>
        </w:rPr>
        <w:t>There are many ways in which researchers may deviate from the standards and provisions of the Code and these breaches occur on a spectrum from very minor to serious. Breaches include but are not limited to:</w:t>
      </w:r>
    </w:p>
    <w:p w14:paraId="0EF365F7"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disregard for responsibilities in providing peer review</w:t>
      </w:r>
    </w:p>
    <w:p w14:paraId="2A9B7C10"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inadequate supervision or mentorship of researchers or research trainees</w:t>
      </w:r>
    </w:p>
    <w:p w14:paraId="29F348A8"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failure to appropriately maintain research records, including inappropriate storage or destruction</w:t>
      </w:r>
    </w:p>
    <w:p w14:paraId="75371C83"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failure to declare and manage conflicts of interest</w:t>
      </w:r>
    </w:p>
    <w:p w14:paraId="5E4DB25E"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conducting research without the required regulatory approval</w:t>
      </w:r>
    </w:p>
    <w:p w14:paraId="65C0A5D3"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failure to acknowledge contributions fairly or awarding authorship where it does not meet the requirements</w:t>
      </w:r>
    </w:p>
    <w:p w14:paraId="2AA67C26"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not meeting the required research standards (i.e. conducting research without ethics approval or not in accordance with the ethics approval, misuse of research funds)</w:t>
      </w:r>
    </w:p>
    <w:p w14:paraId="4FF5983E"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fabrication, falsification or misrepresentation of results</w:t>
      </w:r>
    </w:p>
    <w:p w14:paraId="1BDE6595"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plagiarism</w:t>
      </w:r>
    </w:p>
    <w:p w14:paraId="3DEBBD8D"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falsification or misrepresentation to obtain funding</w:t>
      </w:r>
    </w:p>
    <w:p w14:paraId="17D39B73" w14:textId="77777777" w:rsidR="00AF5115" w:rsidRPr="00AF5115" w:rsidRDefault="00AF5115" w:rsidP="00AF5115">
      <w:pPr>
        <w:pStyle w:val="TableBullet"/>
        <w:tabs>
          <w:tab w:val="clear" w:pos="227"/>
          <w:tab w:val="num" w:pos="662"/>
        </w:tabs>
        <w:ind w:left="662" w:hanging="440"/>
        <w:rPr>
          <w:rFonts w:ascii="Calibri" w:hAnsi="Calibri" w:cs="Calibri"/>
          <w:sz w:val="24"/>
        </w:rPr>
      </w:pPr>
      <w:r w:rsidRPr="00AF5115">
        <w:rPr>
          <w:rFonts w:ascii="Calibri" w:hAnsi="Calibri" w:cs="Calibri"/>
          <w:sz w:val="24"/>
        </w:rPr>
        <w:t>intentional or reckless behaviour risking the safety of human participants, the well-being of animals or the environment</w:t>
      </w:r>
    </w:p>
    <w:p w14:paraId="2BFF3A5C" w14:textId="77777777" w:rsidR="00AF5115" w:rsidRPr="0085318C" w:rsidRDefault="00AF5115" w:rsidP="00AF5115">
      <w:pPr>
        <w:pStyle w:val="TableBullet"/>
        <w:tabs>
          <w:tab w:val="clear" w:pos="227"/>
          <w:tab w:val="num" w:pos="662"/>
        </w:tabs>
        <w:ind w:left="662" w:hanging="440"/>
        <w:rPr>
          <w:lang w:eastAsia="en-AU"/>
        </w:rPr>
      </w:pPr>
      <w:r w:rsidRPr="00AF5115">
        <w:rPr>
          <w:rFonts w:ascii="Calibri" w:hAnsi="Calibri" w:cs="Calibri"/>
          <w:sz w:val="24"/>
        </w:rPr>
        <w:t>deviations from the Code that occur through gross or persistent negligence</w:t>
      </w:r>
    </w:p>
    <w:p w14:paraId="796E9C02" w14:textId="77777777" w:rsidR="00AF5115" w:rsidRPr="0085318C" w:rsidRDefault="00AF5115" w:rsidP="00AF5115">
      <w:pPr>
        <w:pStyle w:val="TableBullet"/>
        <w:tabs>
          <w:tab w:val="clear" w:pos="227"/>
          <w:tab w:val="num" w:pos="662"/>
        </w:tabs>
        <w:ind w:left="662" w:hanging="440"/>
        <w:rPr>
          <w:lang w:eastAsia="en-AU"/>
        </w:rPr>
      </w:pPr>
      <w:r w:rsidRPr="00AF5115">
        <w:rPr>
          <w:rFonts w:ascii="Calibri" w:hAnsi="Calibri" w:cs="Calibri"/>
          <w:sz w:val="24"/>
        </w:rPr>
        <w:t>wilful concealment of research misconduct by others.</w:t>
      </w:r>
    </w:p>
    <w:p w14:paraId="2363E899" w14:textId="77777777" w:rsidR="00AF5115" w:rsidRPr="00FD6BD3" w:rsidRDefault="00AF5115" w:rsidP="00AF5115">
      <w:pPr>
        <w:pStyle w:val="ListNumber"/>
        <w:numPr>
          <w:ilvl w:val="0"/>
          <w:numId w:val="0"/>
        </w:numPr>
        <w:ind w:left="567"/>
      </w:pPr>
    </w:p>
    <w:p w14:paraId="4ADEF067" w14:textId="77777777" w:rsidR="00AF5115" w:rsidRDefault="00AF5115" w:rsidP="00AF5115">
      <w:pPr>
        <w:pStyle w:val="Heading1"/>
      </w:pPr>
      <w:bookmarkStart w:id="0" w:name="_Appendix_2_Designated"/>
      <w:bookmarkEnd w:id="0"/>
      <w:r w:rsidRPr="00836670">
        <w:rPr>
          <w:sz w:val="24"/>
          <w:szCs w:val="24"/>
        </w:rPr>
        <w:br w:type="page"/>
      </w:r>
      <w:r>
        <w:lastRenderedPageBreak/>
        <w:t>Appendix 2</w:t>
      </w:r>
      <w:r>
        <w:tab/>
        <w:t>Designated positions responsible for handling research complaints and allegations</w:t>
      </w:r>
    </w:p>
    <w:p w14:paraId="65B96972" w14:textId="77777777" w:rsidR="00AF5115" w:rsidRDefault="00AF5115" w:rsidP="00AF5115">
      <w:pPr>
        <w:pStyle w:val="ListBullet"/>
        <w:numPr>
          <w:ilvl w:val="0"/>
          <w:numId w:val="0"/>
        </w:numPr>
      </w:pPr>
    </w:p>
    <w:tbl>
      <w:tblPr>
        <w:tblStyle w:val="NavyAlternatingTable"/>
        <w:tblW w:w="0" w:type="auto"/>
        <w:tblLook w:val="04A0" w:firstRow="1" w:lastRow="0" w:firstColumn="1" w:lastColumn="0" w:noHBand="0" w:noVBand="1"/>
      </w:tblPr>
      <w:tblGrid>
        <w:gridCol w:w="5048"/>
        <w:gridCol w:w="5049"/>
      </w:tblGrid>
      <w:tr w:rsidR="00AF5115" w14:paraId="0B080F1C" w14:textId="77777777" w:rsidTr="00B538C8">
        <w:trPr>
          <w:cnfStyle w:val="100000000000" w:firstRow="1" w:lastRow="0" w:firstColumn="0" w:lastColumn="0" w:oddVBand="0" w:evenVBand="0" w:oddHBand="0" w:evenHBand="0" w:firstRowFirstColumn="0" w:firstRowLastColumn="0" w:lastRowFirstColumn="0" w:lastRowLastColumn="0"/>
        </w:trPr>
        <w:tc>
          <w:tcPr>
            <w:tcW w:w="5102" w:type="dxa"/>
          </w:tcPr>
          <w:p w14:paraId="150F25F0" w14:textId="77777777" w:rsidR="00AF5115" w:rsidRDefault="00AF5115" w:rsidP="00B538C8">
            <w:pPr>
              <w:pStyle w:val="BodyText"/>
            </w:pPr>
            <w:r>
              <w:t>Role</w:t>
            </w:r>
          </w:p>
        </w:tc>
        <w:tc>
          <w:tcPr>
            <w:tcW w:w="5103" w:type="dxa"/>
          </w:tcPr>
          <w:p w14:paraId="012F34C5" w14:textId="77777777" w:rsidR="00AF5115" w:rsidRDefault="00AF5115" w:rsidP="00B538C8">
            <w:pPr>
              <w:pStyle w:val="BodyText"/>
            </w:pPr>
            <w:r>
              <w:t>Delegated position</w:t>
            </w:r>
          </w:p>
        </w:tc>
      </w:tr>
      <w:tr w:rsidR="00AF5115" w14:paraId="745E5B49" w14:textId="77777777" w:rsidTr="00B538C8">
        <w:trPr>
          <w:cnfStyle w:val="000000100000" w:firstRow="0" w:lastRow="0" w:firstColumn="0" w:lastColumn="0" w:oddVBand="0" w:evenVBand="0" w:oddHBand="1" w:evenHBand="0" w:firstRowFirstColumn="0" w:firstRowLastColumn="0" w:lastRowFirstColumn="0" w:lastRowLastColumn="0"/>
        </w:trPr>
        <w:tc>
          <w:tcPr>
            <w:tcW w:w="5102" w:type="dxa"/>
          </w:tcPr>
          <w:p w14:paraId="4F3858B9" w14:textId="77777777" w:rsidR="00AF5115" w:rsidRDefault="00AF5115" w:rsidP="00B538C8">
            <w:pPr>
              <w:pStyle w:val="BodyText"/>
            </w:pPr>
            <w:r>
              <w:t>Responsible Executive Officer (REO)</w:t>
            </w:r>
          </w:p>
        </w:tc>
        <w:tc>
          <w:tcPr>
            <w:tcW w:w="5103" w:type="dxa"/>
          </w:tcPr>
          <w:p w14:paraId="3FB09559" w14:textId="77777777" w:rsidR="00AF5115" w:rsidRDefault="00AF5115" w:rsidP="00B538C8">
            <w:pPr>
              <w:pStyle w:val="BodyText"/>
            </w:pPr>
            <w:r>
              <w:t>General Manager, PQ</w:t>
            </w:r>
          </w:p>
        </w:tc>
      </w:tr>
      <w:tr w:rsidR="00AF5115" w14:paraId="5C954453" w14:textId="77777777" w:rsidTr="00B538C8">
        <w:trPr>
          <w:cnfStyle w:val="000000010000" w:firstRow="0" w:lastRow="0" w:firstColumn="0" w:lastColumn="0" w:oddVBand="0" w:evenVBand="0" w:oddHBand="0" w:evenHBand="1" w:firstRowFirstColumn="0" w:firstRowLastColumn="0" w:lastRowFirstColumn="0" w:lastRowLastColumn="0"/>
        </w:trPr>
        <w:tc>
          <w:tcPr>
            <w:tcW w:w="5102" w:type="dxa"/>
          </w:tcPr>
          <w:p w14:paraId="62E0E532" w14:textId="77777777" w:rsidR="00AF5115" w:rsidRDefault="00AF5115" w:rsidP="00B538C8">
            <w:pPr>
              <w:pStyle w:val="BodyText"/>
            </w:pPr>
            <w:r>
              <w:t>Designated Officer (DO)</w:t>
            </w:r>
          </w:p>
        </w:tc>
        <w:tc>
          <w:tcPr>
            <w:tcW w:w="5103" w:type="dxa"/>
          </w:tcPr>
          <w:p w14:paraId="68C59BBC" w14:textId="77777777" w:rsidR="00AF5115" w:rsidRDefault="00AF5115" w:rsidP="00B538C8">
            <w:pPr>
              <w:pStyle w:val="BodyText"/>
            </w:pPr>
            <w:r>
              <w:t>Executive Director, FSS</w:t>
            </w:r>
          </w:p>
          <w:p w14:paraId="7FF45CB3" w14:textId="77777777" w:rsidR="00AF5115" w:rsidRDefault="00AF5115" w:rsidP="00B538C8">
            <w:pPr>
              <w:pStyle w:val="BodyText"/>
            </w:pPr>
            <w:r>
              <w:t>Executive Director, Research, PQ</w:t>
            </w:r>
          </w:p>
        </w:tc>
      </w:tr>
      <w:tr w:rsidR="00AF5115" w14:paraId="6EAA476E" w14:textId="77777777" w:rsidTr="00B538C8">
        <w:trPr>
          <w:cnfStyle w:val="000000100000" w:firstRow="0" w:lastRow="0" w:firstColumn="0" w:lastColumn="0" w:oddVBand="0" w:evenVBand="0" w:oddHBand="1" w:evenHBand="0" w:firstRowFirstColumn="0" w:firstRowLastColumn="0" w:lastRowFirstColumn="0" w:lastRowLastColumn="0"/>
        </w:trPr>
        <w:tc>
          <w:tcPr>
            <w:tcW w:w="5102" w:type="dxa"/>
          </w:tcPr>
          <w:p w14:paraId="656B0362" w14:textId="77777777" w:rsidR="00AF5115" w:rsidRDefault="00AF5115" w:rsidP="00B538C8">
            <w:pPr>
              <w:pStyle w:val="BodyText"/>
            </w:pPr>
            <w:r>
              <w:t>Assessment Officer</w:t>
            </w:r>
          </w:p>
        </w:tc>
        <w:tc>
          <w:tcPr>
            <w:tcW w:w="5103" w:type="dxa"/>
          </w:tcPr>
          <w:p w14:paraId="556DC1A2" w14:textId="77777777" w:rsidR="00AF5115" w:rsidRDefault="00AF5115" w:rsidP="00B538C8">
            <w:pPr>
              <w:pStyle w:val="BodyText"/>
            </w:pPr>
            <w:r>
              <w:t>Principal Advisor or equivalent</w:t>
            </w:r>
          </w:p>
        </w:tc>
      </w:tr>
      <w:tr w:rsidR="00AF5115" w14:paraId="5156726B" w14:textId="77777777" w:rsidTr="00B538C8">
        <w:trPr>
          <w:cnfStyle w:val="000000010000" w:firstRow="0" w:lastRow="0" w:firstColumn="0" w:lastColumn="0" w:oddVBand="0" w:evenVBand="0" w:oddHBand="0" w:evenHBand="1" w:firstRowFirstColumn="0" w:firstRowLastColumn="0" w:lastRowFirstColumn="0" w:lastRowLastColumn="0"/>
        </w:trPr>
        <w:tc>
          <w:tcPr>
            <w:tcW w:w="5102" w:type="dxa"/>
          </w:tcPr>
          <w:p w14:paraId="1583302A" w14:textId="77777777" w:rsidR="00AF5115" w:rsidRDefault="00AF5115" w:rsidP="00B538C8">
            <w:pPr>
              <w:pStyle w:val="BodyText"/>
            </w:pPr>
            <w:r>
              <w:t>Research Integrity Advisor (RIA)</w:t>
            </w:r>
          </w:p>
        </w:tc>
        <w:tc>
          <w:tcPr>
            <w:tcW w:w="5103" w:type="dxa"/>
          </w:tcPr>
          <w:p w14:paraId="64DB6FA1" w14:textId="77777777" w:rsidR="00AF5115" w:rsidRDefault="00AF5115" w:rsidP="00B538C8">
            <w:pPr>
              <w:pStyle w:val="BodyText"/>
            </w:pPr>
            <w:r>
              <w:t>Local area advisors (e.g. Research and Ethics Co-ordinator, FSS; Research Governance Officer, PQ</w:t>
            </w:r>
          </w:p>
        </w:tc>
      </w:tr>
      <w:tr w:rsidR="00AF5115" w14:paraId="6611729C" w14:textId="77777777" w:rsidTr="00B538C8">
        <w:trPr>
          <w:cnfStyle w:val="000000100000" w:firstRow="0" w:lastRow="0" w:firstColumn="0" w:lastColumn="0" w:oddVBand="0" w:evenVBand="0" w:oddHBand="1" w:evenHBand="0" w:firstRowFirstColumn="0" w:firstRowLastColumn="0" w:lastRowFirstColumn="0" w:lastRowLastColumn="0"/>
        </w:trPr>
        <w:tc>
          <w:tcPr>
            <w:tcW w:w="5102" w:type="dxa"/>
          </w:tcPr>
          <w:p w14:paraId="7C70412B" w14:textId="77777777" w:rsidR="00AF5115" w:rsidRDefault="00AF5115" w:rsidP="00B538C8">
            <w:pPr>
              <w:pStyle w:val="BodyText"/>
            </w:pPr>
            <w:r>
              <w:t>Review Officer (RO)</w:t>
            </w:r>
          </w:p>
        </w:tc>
        <w:tc>
          <w:tcPr>
            <w:tcW w:w="5103" w:type="dxa"/>
          </w:tcPr>
          <w:p w14:paraId="798107B4" w14:textId="77777777" w:rsidR="00AF5115" w:rsidRDefault="00AF5115" w:rsidP="00B538C8">
            <w:pPr>
              <w:pStyle w:val="BodyText"/>
            </w:pPr>
            <w:r>
              <w:t>Quality Advisor or equivalent</w:t>
            </w:r>
          </w:p>
        </w:tc>
      </w:tr>
      <w:tr w:rsidR="00AF5115" w14:paraId="441ECBCC" w14:textId="77777777" w:rsidTr="00B538C8">
        <w:trPr>
          <w:cnfStyle w:val="000000010000" w:firstRow="0" w:lastRow="0" w:firstColumn="0" w:lastColumn="0" w:oddVBand="0" w:evenVBand="0" w:oddHBand="0" w:evenHBand="1" w:firstRowFirstColumn="0" w:firstRowLastColumn="0" w:lastRowFirstColumn="0" w:lastRowLastColumn="0"/>
        </w:trPr>
        <w:tc>
          <w:tcPr>
            <w:tcW w:w="5102" w:type="dxa"/>
          </w:tcPr>
          <w:p w14:paraId="4666AC01" w14:textId="77777777" w:rsidR="00AF5115" w:rsidRDefault="00AF5115" w:rsidP="00B538C8">
            <w:pPr>
              <w:pStyle w:val="BodyText"/>
            </w:pPr>
            <w:r>
              <w:t>FSS Human Ethics Committee (FSS HEC)</w:t>
            </w:r>
          </w:p>
        </w:tc>
        <w:tc>
          <w:tcPr>
            <w:tcW w:w="5103" w:type="dxa"/>
          </w:tcPr>
          <w:p w14:paraId="6BE17A54" w14:textId="77777777" w:rsidR="00AF5115" w:rsidRDefault="00AF5115" w:rsidP="00B538C8">
            <w:pPr>
              <w:pStyle w:val="BodyText"/>
            </w:pPr>
            <w:r>
              <w:t>Chair and/or co-ordinator</w:t>
            </w:r>
          </w:p>
        </w:tc>
      </w:tr>
      <w:tr w:rsidR="00AF5115" w14:paraId="357502D1" w14:textId="77777777" w:rsidTr="00B538C8">
        <w:trPr>
          <w:cnfStyle w:val="000000100000" w:firstRow="0" w:lastRow="0" w:firstColumn="0" w:lastColumn="0" w:oddVBand="0" w:evenVBand="0" w:oddHBand="1" w:evenHBand="0" w:firstRowFirstColumn="0" w:firstRowLastColumn="0" w:lastRowFirstColumn="0" w:lastRowLastColumn="0"/>
        </w:trPr>
        <w:tc>
          <w:tcPr>
            <w:tcW w:w="5102" w:type="dxa"/>
          </w:tcPr>
          <w:p w14:paraId="6C7D1E82" w14:textId="77777777" w:rsidR="00AF5115" w:rsidRDefault="00AF5115" w:rsidP="00B538C8">
            <w:pPr>
              <w:pStyle w:val="BodyText"/>
            </w:pPr>
            <w:r>
              <w:t>FSS Animal Ethics Committee (FSS AEC)</w:t>
            </w:r>
          </w:p>
        </w:tc>
        <w:tc>
          <w:tcPr>
            <w:tcW w:w="5103" w:type="dxa"/>
          </w:tcPr>
          <w:p w14:paraId="1708536C" w14:textId="77777777" w:rsidR="00AF5115" w:rsidRDefault="00AF5115" w:rsidP="00B538C8">
            <w:pPr>
              <w:pStyle w:val="BodyText"/>
            </w:pPr>
            <w:r>
              <w:t>Chair</w:t>
            </w:r>
          </w:p>
        </w:tc>
      </w:tr>
    </w:tbl>
    <w:p w14:paraId="64F9E8AF" w14:textId="77777777" w:rsidR="00AF5115" w:rsidRPr="005C4316" w:rsidRDefault="00AF5115" w:rsidP="00AF5115">
      <w:pPr>
        <w:pStyle w:val="BodyText"/>
      </w:pPr>
    </w:p>
    <w:p w14:paraId="62607CD4" w14:textId="77777777" w:rsidR="00AF5115" w:rsidRPr="00337F1B" w:rsidRDefault="00AF5115" w:rsidP="00AF5115">
      <w:pPr>
        <w:pStyle w:val="BodyText"/>
      </w:pPr>
    </w:p>
    <w:p w14:paraId="2AA1C980" w14:textId="77777777" w:rsidR="00AF5115" w:rsidRPr="004A0F8D" w:rsidRDefault="00AF5115" w:rsidP="00AF5115">
      <w:pPr>
        <w:pStyle w:val="BodyText"/>
      </w:pPr>
    </w:p>
    <w:p w14:paraId="1BBC1057" w14:textId="77777777" w:rsidR="00AF5115" w:rsidRDefault="00AF5115" w:rsidP="00AF5115">
      <w:r>
        <w:br w:type="page"/>
      </w:r>
    </w:p>
    <w:p w14:paraId="18CB8F1B" w14:textId="77777777" w:rsidR="00AF5115" w:rsidRPr="007400CF" w:rsidRDefault="00AF5115" w:rsidP="00AF5115">
      <w:pPr>
        <w:pStyle w:val="Heading1"/>
      </w:pPr>
      <w:r w:rsidRPr="007400CF">
        <w:lastRenderedPageBreak/>
        <w:t>Appendix 3</w:t>
      </w:r>
    </w:p>
    <w:p w14:paraId="543DCCCF" w14:textId="77777777" w:rsidR="00AF5115" w:rsidRPr="00AF5115" w:rsidRDefault="00AF5115" w:rsidP="00AF5115">
      <w:pPr>
        <w:pStyle w:val="BodyText"/>
        <w:rPr>
          <w:rFonts w:ascii="Calibri" w:hAnsi="Calibri" w:cs="Calibri"/>
        </w:rPr>
      </w:pPr>
      <w:r w:rsidRPr="00AF5115">
        <w:rPr>
          <w:rFonts w:ascii="Calibri" w:hAnsi="Calibri" w:cs="Calibri"/>
        </w:rPr>
        <w:t xml:space="preserve">FSS and PQ will design the associated processes with reference to the NHMRC sample checklists in the Guide </w:t>
      </w:r>
      <w:hyperlink r:id="rId13" w:history="1">
        <w:r w:rsidRPr="00AF5115">
          <w:rPr>
            <w:rStyle w:val="Hyperlink"/>
            <w:rFonts w:ascii="Calibri" w:hAnsi="Calibri" w:cs="Calibri"/>
          </w:rPr>
          <w:t>https://www.nhmrc.gov.au/sites/default/files/documents/attachments/guide-managing-investigating-potential-breaches.pdf</w:t>
        </w:r>
      </w:hyperlink>
      <w:r w:rsidRPr="00AF5115">
        <w:rPr>
          <w:rFonts w:ascii="Calibri" w:hAnsi="Calibri" w:cs="Calibri"/>
        </w:rPr>
        <w:t>:</w:t>
      </w:r>
    </w:p>
    <w:p w14:paraId="61E6FE69" w14:textId="77777777" w:rsidR="00AF5115" w:rsidRPr="00AF5115" w:rsidRDefault="00AF5115" w:rsidP="00AF5115">
      <w:pPr>
        <w:pStyle w:val="BodyText"/>
        <w:numPr>
          <w:ilvl w:val="0"/>
          <w:numId w:val="42"/>
        </w:numPr>
        <w:rPr>
          <w:rFonts w:ascii="Calibri" w:hAnsi="Calibri" w:cs="Calibri"/>
        </w:rPr>
      </w:pPr>
      <w:r w:rsidRPr="00AF5115">
        <w:rPr>
          <w:rFonts w:ascii="Calibri" w:hAnsi="Calibri" w:cs="Calibri"/>
        </w:rPr>
        <w:t>Sample checklist for the preliminary assessment (Appendix 1 of the Guide)</w:t>
      </w:r>
    </w:p>
    <w:p w14:paraId="75BADA7B" w14:textId="77777777" w:rsidR="00AF5115" w:rsidRPr="00AF5115" w:rsidRDefault="00AF5115" w:rsidP="00AF5115">
      <w:pPr>
        <w:pStyle w:val="BodyText"/>
        <w:numPr>
          <w:ilvl w:val="0"/>
          <w:numId w:val="42"/>
        </w:numPr>
        <w:rPr>
          <w:rFonts w:ascii="Calibri" w:hAnsi="Calibri" w:cs="Calibri"/>
        </w:rPr>
      </w:pPr>
      <w:r w:rsidRPr="00AF5115">
        <w:rPr>
          <w:rFonts w:ascii="Calibri" w:hAnsi="Calibri" w:cs="Calibri"/>
        </w:rPr>
        <w:t>Sample checklist for the terms of reference for the Panel (Appendix 2 of the Guide)</w:t>
      </w:r>
    </w:p>
    <w:p w14:paraId="1C5CA6CF" w14:textId="77777777" w:rsidR="00AF5115" w:rsidRPr="00AF5115" w:rsidRDefault="00AF5115" w:rsidP="00AF5115">
      <w:pPr>
        <w:pStyle w:val="BodyText"/>
        <w:numPr>
          <w:ilvl w:val="0"/>
          <w:numId w:val="42"/>
        </w:numPr>
        <w:rPr>
          <w:rFonts w:ascii="Calibri" w:hAnsi="Calibri" w:cs="Calibri"/>
        </w:rPr>
      </w:pPr>
      <w:r w:rsidRPr="00AF5115">
        <w:rPr>
          <w:rFonts w:ascii="Calibri" w:hAnsi="Calibri" w:cs="Calibri"/>
        </w:rPr>
        <w:t>Sample checklist for the investigation procedure (Appendix 3 of the Guide)</w:t>
      </w:r>
    </w:p>
    <w:p w14:paraId="29780C12" w14:textId="77777777" w:rsidR="00AF5115" w:rsidRPr="00AF5115" w:rsidRDefault="00AF5115" w:rsidP="00AF5115">
      <w:pPr>
        <w:pStyle w:val="BodyText"/>
        <w:numPr>
          <w:ilvl w:val="0"/>
          <w:numId w:val="42"/>
        </w:numPr>
        <w:rPr>
          <w:rFonts w:ascii="Calibri" w:hAnsi="Calibri" w:cs="Calibri"/>
        </w:rPr>
      </w:pPr>
      <w:r w:rsidRPr="00AF5115">
        <w:rPr>
          <w:rFonts w:ascii="Calibri" w:hAnsi="Calibri" w:cs="Calibri"/>
        </w:rPr>
        <w:t>Sample checklist for reporting the findings of the investigation (Appendix 4 of the Guide)</w:t>
      </w:r>
    </w:p>
    <w:p w14:paraId="7D73E334" w14:textId="77777777" w:rsidR="00AF5115" w:rsidRPr="00AF5115" w:rsidRDefault="00AF5115" w:rsidP="00AF5115">
      <w:pPr>
        <w:pStyle w:val="BodyText"/>
        <w:rPr>
          <w:rFonts w:ascii="Calibri" w:hAnsi="Calibri" w:cs="Calibri"/>
        </w:rPr>
      </w:pPr>
    </w:p>
    <w:p w14:paraId="61E04BD5" w14:textId="77777777" w:rsidR="00AF5115" w:rsidRDefault="00AF5115" w:rsidP="00AF5115">
      <w:pPr>
        <w:pStyle w:val="BodyText"/>
      </w:pPr>
    </w:p>
    <w:p w14:paraId="7DBF6525" w14:textId="77777777" w:rsidR="00AF5115" w:rsidRPr="00AF5115" w:rsidRDefault="00AF5115" w:rsidP="00AF5115">
      <w:pPr>
        <w:pStyle w:val="Subtitle"/>
        <w:rPr>
          <w:lang w:eastAsia="en-US"/>
        </w:rPr>
      </w:pPr>
    </w:p>
    <w:sectPr w:rsidR="00AF5115" w:rsidRPr="00AF5115" w:rsidSect="00083F85">
      <w:headerReference w:type="default" r:id="rId14"/>
      <w:footerReference w:type="default" r:id="rId15"/>
      <w:headerReference w:type="first" r:id="rId16"/>
      <w:footerReference w:type="first" r:id="rId17"/>
      <w:type w:val="continuous"/>
      <w:pgSz w:w="11907" w:h="16840" w:code="9"/>
      <w:pgMar w:top="1188" w:right="851" w:bottom="1134" w:left="851" w:header="567" w:footer="4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916C3" w14:textId="77777777" w:rsidR="006121FC" w:rsidRDefault="006121FC" w:rsidP="002C39DD">
      <w:r>
        <w:separator/>
      </w:r>
    </w:p>
    <w:p w14:paraId="376B109B" w14:textId="77777777" w:rsidR="006121FC" w:rsidRDefault="006121FC" w:rsidP="002C39DD"/>
    <w:p w14:paraId="2168D504" w14:textId="77777777" w:rsidR="006121FC" w:rsidRDefault="006121FC" w:rsidP="002C39DD"/>
    <w:p w14:paraId="4DC0B19A" w14:textId="77777777" w:rsidR="006121FC" w:rsidRDefault="006121FC" w:rsidP="002C39DD"/>
    <w:p w14:paraId="746A2ECB" w14:textId="77777777" w:rsidR="006121FC" w:rsidRDefault="006121FC"/>
    <w:p w14:paraId="28921763" w14:textId="77777777" w:rsidR="006121FC" w:rsidRDefault="006121FC"/>
  </w:endnote>
  <w:endnote w:type="continuationSeparator" w:id="0">
    <w:p w14:paraId="6A2C08D3" w14:textId="77777777" w:rsidR="006121FC" w:rsidRDefault="006121FC" w:rsidP="002C39DD">
      <w:r>
        <w:continuationSeparator/>
      </w:r>
    </w:p>
    <w:p w14:paraId="365B648A" w14:textId="77777777" w:rsidR="006121FC" w:rsidRDefault="006121FC" w:rsidP="002C39DD"/>
    <w:p w14:paraId="6B2CCC76" w14:textId="77777777" w:rsidR="006121FC" w:rsidRDefault="006121FC" w:rsidP="002C39DD"/>
    <w:p w14:paraId="30ACABE7" w14:textId="77777777" w:rsidR="006121FC" w:rsidRDefault="006121FC" w:rsidP="002C39DD"/>
    <w:p w14:paraId="6B4B7915" w14:textId="77777777" w:rsidR="006121FC" w:rsidRDefault="006121FC"/>
    <w:p w14:paraId="4971155C" w14:textId="77777777" w:rsidR="006121FC" w:rsidRDefault="00612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6A48" w14:textId="77777777" w:rsidR="00AC1E6F" w:rsidRPr="00AC1E6F" w:rsidRDefault="00AC1E6F" w:rsidP="00AC1E6F">
    <w:pPr>
      <w:pStyle w:val="Footer"/>
    </w:pPr>
  </w:p>
  <w:tbl>
    <w:tblPr>
      <w:tblW w:w="5000" w:type="pct"/>
      <w:tblCellMar>
        <w:left w:w="0" w:type="dxa"/>
        <w:right w:w="0" w:type="dxa"/>
      </w:tblCellMar>
      <w:tblLook w:val="01E0" w:firstRow="1" w:lastRow="1" w:firstColumn="1" w:lastColumn="1" w:noHBand="0" w:noVBand="0"/>
    </w:tblPr>
    <w:tblGrid>
      <w:gridCol w:w="8780"/>
      <w:gridCol w:w="1425"/>
    </w:tblGrid>
    <w:tr w:rsidR="00AC1E6F" w:rsidRPr="00AC1E6F" w14:paraId="27F123E5" w14:textId="77777777" w:rsidTr="00042F11">
      <w:tc>
        <w:tcPr>
          <w:tcW w:w="7317" w:type="dxa"/>
          <w:shd w:val="clear" w:color="auto" w:fill="auto"/>
          <w:vAlign w:val="bottom"/>
        </w:tcPr>
        <w:p w14:paraId="0C4D306A" w14:textId="0E925B07" w:rsidR="00AC1E6F" w:rsidRPr="00AC1E6F" w:rsidRDefault="00AC1E6F" w:rsidP="00AC1E6F">
          <w:pPr>
            <w:pStyle w:val="Footer"/>
          </w:pPr>
          <w:r w:rsidRPr="00042F11">
            <w:rPr>
              <w:b/>
            </w:rPr>
            <w:fldChar w:fldCharType="begin"/>
          </w:r>
          <w:r w:rsidRPr="00042F11">
            <w:rPr>
              <w:b/>
            </w:rPr>
            <w:instrText xml:space="preserve"> STYLEREF  Title  \* MERGEFORMAT </w:instrText>
          </w:r>
          <w:r w:rsidRPr="00042F11">
            <w:rPr>
              <w:b/>
            </w:rPr>
            <w:fldChar w:fldCharType="separate"/>
          </w:r>
          <w:r w:rsidR="005708C4">
            <w:rPr>
              <w:b/>
              <w:noProof/>
            </w:rPr>
            <w:t>Procedure for handling potential</w:t>
          </w:r>
          <w:r w:rsidR="005708C4">
            <w:rPr>
              <w:b/>
              <w:noProof/>
            </w:rPr>
            <w:br/>
            <w:t>breaches of the Australian Code for</w:t>
          </w:r>
          <w:r w:rsidR="005708C4">
            <w:rPr>
              <w:b/>
              <w:noProof/>
            </w:rPr>
            <w:br/>
            <w:t>the Responsible Conduct of Research</w:t>
          </w:r>
          <w:r w:rsidRPr="00042F11">
            <w:rPr>
              <w:b/>
            </w:rPr>
            <w:fldChar w:fldCharType="end"/>
          </w:r>
          <w:r w:rsidR="00490104">
            <w:t xml:space="preserve"> </w:t>
          </w:r>
          <w:r w:rsidRPr="00AC1E6F">
            <w:t xml:space="preserve"> </w:t>
          </w:r>
        </w:p>
      </w:tc>
      <w:tc>
        <w:tcPr>
          <w:tcW w:w="1188" w:type="dxa"/>
          <w:shd w:val="clear" w:color="auto" w:fill="auto"/>
          <w:vAlign w:val="bottom"/>
        </w:tcPr>
        <w:p w14:paraId="08470756" w14:textId="77777777" w:rsidR="00AC1E6F" w:rsidRPr="00AC1E6F" w:rsidRDefault="006121A8" w:rsidP="00042F11">
          <w:pPr>
            <w:pStyle w:val="Footer"/>
            <w:jc w:val="right"/>
          </w:pPr>
          <w:r w:rsidRPr="00AC1E6F">
            <w:t xml:space="preserve">- </w:t>
          </w:r>
          <w:r w:rsidRPr="00AC1E6F">
            <w:fldChar w:fldCharType="begin"/>
          </w:r>
          <w:r w:rsidRPr="00AC1E6F">
            <w:instrText xml:space="preserve"> PAGE </w:instrText>
          </w:r>
          <w:r w:rsidRPr="00AC1E6F">
            <w:fldChar w:fldCharType="separate"/>
          </w:r>
          <w:r w:rsidR="00262043">
            <w:rPr>
              <w:noProof/>
            </w:rPr>
            <w:t>6</w:t>
          </w:r>
          <w:r w:rsidRPr="00AC1E6F">
            <w:fldChar w:fldCharType="end"/>
          </w:r>
          <w:r>
            <w:t xml:space="preserve"> of </w:t>
          </w:r>
          <w:r w:rsidR="006121FC">
            <w:fldChar w:fldCharType="begin"/>
          </w:r>
          <w:r w:rsidR="006121FC">
            <w:instrText xml:space="preserve"> NUMPAGES  \* Arabic  \* MERGEFORMAT </w:instrText>
          </w:r>
          <w:r w:rsidR="006121FC">
            <w:fldChar w:fldCharType="separate"/>
          </w:r>
          <w:r w:rsidR="00262043">
            <w:rPr>
              <w:noProof/>
            </w:rPr>
            <w:t>9</w:t>
          </w:r>
          <w:r w:rsidR="006121FC">
            <w:rPr>
              <w:noProof/>
            </w:rPr>
            <w:fldChar w:fldCharType="end"/>
          </w:r>
          <w:r w:rsidRPr="00AC1E6F">
            <w:t xml:space="preserve"> -</w:t>
          </w:r>
        </w:p>
      </w:tc>
    </w:tr>
  </w:tbl>
  <w:p w14:paraId="68FABDC3" w14:textId="77777777" w:rsidR="00AC1E6F" w:rsidRPr="00AC1E6F" w:rsidRDefault="00AC1E6F" w:rsidP="00AC1E6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C082" w14:textId="77777777" w:rsidR="006A3E52" w:rsidRDefault="006A3E52" w:rsidP="006A3E52">
    <w:pPr>
      <w:pStyle w:val="Footer"/>
    </w:pPr>
  </w:p>
  <w:p w14:paraId="01FD0197" w14:textId="77777777" w:rsidR="006A3E52" w:rsidRDefault="006A3E52" w:rsidP="006A3E52">
    <w:pPr>
      <w:pStyle w:val="Footer"/>
    </w:pPr>
  </w:p>
  <w:p w14:paraId="6232A078" w14:textId="77777777" w:rsidR="006A3E52" w:rsidRDefault="006A3E52" w:rsidP="006A3E52">
    <w:pPr>
      <w:pStyle w:val="Footer"/>
    </w:pPr>
  </w:p>
  <w:p w14:paraId="4B4318A7" w14:textId="77777777" w:rsidR="006A3E52" w:rsidRPr="00276727" w:rsidRDefault="006A3E52" w:rsidP="006A3E52">
    <w:pPr>
      <w:pStyle w:val="Footer"/>
    </w:pPr>
  </w:p>
  <w:p w14:paraId="68158F37" w14:textId="5817E6F2" w:rsidR="00AC1E6F" w:rsidRPr="006A3E52" w:rsidRDefault="00AF5115" w:rsidP="006A3E52">
    <w:pPr>
      <w:pStyle w:val="Footer"/>
    </w:pPr>
    <w:r>
      <w:rPr>
        <w:noProof/>
      </w:rPr>
      <w:drawing>
        <wp:anchor distT="0" distB="0" distL="114300" distR="114300" simplePos="0" relativeHeight="251657216" behindDoc="1" locked="0" layoutInCell="1" allowOverlap="1" wp14:anchorId="15A9CD14" wp14:editId="47E9315F">
          <wp:simplePos x="0" y="0"/>
          <wp:positionH relativeFrom="page">
            <wp:align>center</wp:align>
          </wp:positionH>
          <wp:positionV relativeFrom="page">
            <wp:align>bottom</wp:align>
          </wp:positionV>
          <wp:extent cx="7531100" cy="73088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F8D1" w14:textId="77777777" w:rsidR="006121FC" w:rsidRDefault="006121FC" w:rsidP="002C39DD">
      <w:r>
        <w:separator/>
      </w:r>
    </w:p>
    <w:p w14:paraId="67EF615C" w14:textId="77777777" w:rsidR="006121FC" w:rsidRDefault="006121FC"/>
  </w:footnote>
  <w:footnote w:type="continuationSeparator" w:id="0">
    <w:p w14:paraId="1F9F9852" w14:textId="77777777" w:rsidR="006121FC" w:rsidRDefault="006121FC" w:rsidP="002C39DD">
      <w:r>
        <w:continuationSeparator/>
      </w:r>
    </w:p>
    <w:p w14:paraId="48A3424D" w14:textId="77777777" w:rsidR="006121FC" w:rsidRDefault="006121FC" w:rsidP="002C39DD"/>
    <w:p w14:paraId="3A336CDF" w14:textId="77777777" w:rsidR="006121FC" w:rsidRDefault="006121FC" w:rsidP="002C39DD"/>
    <w:p w14:paraId="61E48C3D" w14:textId="77777777" w:rsidR="006121FC" w:rsidRDefault="006121FC" w:rsidP="002C39DD"/>
    <w:p w14:paraId="17E4E936" w14:textId="77777777" w:rsidR="006121FC" w:rsidRDefault="006121FC"/>
    <w:p w14:paraId="43D3896B" w14:textId="77777777" w:rsidR="006121FC" w:rsidRDefault="00612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9A87" w14:textId="77777777" w:rsidR="008A1103" w:rsidRDefault="008A1103">
    <w:pPr>
      <w:pStyle w:val="Header"/>
      <w:rPr>
        <w:lang w:val="en-US"/>
      </w:rPr>
    </w:pPr>
  </w:p>
  <w:p w14:paraId="3132FBF2" w14:textId="77777777" w:rsidR="008A1103" w:rsidRPr="008A1103" w:rsidRDefault="008A110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BA13" w14:textId="4C24DB30" w:rsidR="005F04B9" w:rsidRDefault="00496466" w:rsidP="001B0DAD">
    <w:pPr>
      <w:pStyle w:val="Header"/>
      <w:tabs>
        <w:tab w:val="clear" w:pos="4320"/>
        <w:tab w:val="clear" w:pos="8640"/>
        <w:tab w:val="left" w:pos="1815"/>
      </w:tabs>
    </w:pPr>
    <w:r>
      <w:rPr>
        <w:noProof/>
      </w:rPr>
      <w:drawing>
        <wp:anchor distT="0" distB="0" distL="114300" distR="114300" simplePos="0" relativeHeight="251658240" behindDoc="1" locked="0" layoutInCell="1" allowOverlap="1" wp14:anchorId="3CF9ABBC" wp14:editId="007389DA">
          <wp:simplePos x="0" y="0"/>
          <wp:positionH relativeFrom="page">
            <wp:align>center</wp:align>
          </wp:positionH>
          <wp:positionV relativeFrom="page">
            <wp:align>top</wp:align>
          </wp:positionV>
          <wp:extent cx="7542000" cy="1850400"/>
          <wp:effectExtent l="0" t="0" r="1905" b="381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2000" cy="185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0DB46A9B"/>
    <w:multiLevelType w:val="hybridMultilevel"/>
    <w:tmpl w:val="D6DEAD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46051"/>
    <w:multiLevelType w:val="hybridMultilevel"/>
    <w:tmpl w:val="938286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373C1"/>
    <w:multiLevelType w:val="hybridMultilevel"/>
    <w:tmpl w:val="78C0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7A4C6D"/>
    <w:multiLevelType w:val="hybridMultilevel"/>
    <w:tmpl w:val="8878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B74C2"/>
    <w:multiLevelType w:val="hybridMultilevel"/>
    <w:tmpl w:val="1F4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6"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3AEF1986"/>
    <w:multiLevelType w:val="hybridMultilevel"/>
    <w:tmpl w:val="A9BC04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BB235E6"/>
    <w:multiLevelType w:val="hybridMultilevel"/>
    <w:tmpl w:val="3B5495B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B17E7"/>
    <w:multiLevelType w:val="hybridMultilevel"/>
    <w:tmpl w:val="69B8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67A4523"/>
    <w:multiLevelType w:val="hybridMultilevel"/>
    <w:tmpl w:val="333C0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6" w15:restartNumberingAfterBreak="0">
    <w:nsid w:val="65F82DD8"/>
    <w:multiLevelType w:val="multilevel"/>
    <w:tmpl w:val="7C149C2A"/>
    <w:lvl w:ilvl="0">
      <w:start w:val="1"/>
      <w:numFmt w:val="decimal"/>
      <w:pStyle w:val="NoHeading1"/>
      <w:lvlText w:val="%1."/>
      <w:lvlJc w:val="left"/>
      <w:pPr>
        <w:tabs>
          <w:tab w:val="num" w:pos="851"/>
        </w:tabs>
        <w:ind w:left="851" w:hanging="851"/>
      </w:pPr>
      <w:rPr>
        <w:rFonts w:hint="default"/>
        <w:b/>
        <w:i w:val="0"/>
        <w:color w:val="016171"/>
        <w:sz w:val="36"/>
        <w:szCs w:val="22"/>
      </w:rPr>
    </w:lvl>
    <w:lvl w:ilvl="1">
      <w:start w:val="1"/>
      <w:numFmt w:val="decimal"/>
      <w:pStyle w:val="NoHeading2"/>
      <w:lvlText w:val="%1.%2"/>
      <w:lvlJc w:val="left"/>
      <w:pPr>
        <w:tabs>
          <w:tab w:val="num" w:pos="851"/>
        </w:tabs>
        <w:ind w:left="851" w:hanging="851"/>
      </w:pPr>
      <w:rPr>
        <w:rFonts w:hint="default"/>
        <w:b/>
        <w:i w:val="0"/>
        <w:color w:val="24455B"/>
        <w:sz w:val="32"/>
      </w:rPr>
    </w:lvl>
    <w:lvl w:ilvl="2">
      <w:start w:val="1"/>
      <w:numFmt w:val="decimal"/>
      <w:pStyle w:val="NoHeading3"/>
      <w:lvlText w:val="%1.%2.%3"/>
      <w:lvlJc w:val="left"/>
      <w:pPr>
        <w:tabs>
          <w:tab w:val="num" w:pos="851"/>
        </w:tabs>
        <w:ind w:left="851" w:hanging="851"/>
      </w:pPr>
      <w:rPr>
        <w:rFonts w:hint="default"/>
        <w:b/>
        <w:i w:val="0"/>
        <w:color w:val="24455B"/>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7" w15:restartNumberingAfterBreak="0">
    <w:nsid w:val="663D7F10"/>
    <w:multiLevelType w:val="multilevel"/>
    <w:tmpl w:val="8A86B4F2"/>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9156A43"/>
    <w:multiLevelType w:val="hybridMultilevel"/>
    <w:tmpl w:val="C2C6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3C1CB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FB227DB"/>
    <w:multiLevelType w:val="hybridMultilevel"/>
    <w:tmpl w:val="2118FA04"/>
    <w:lvl w:ilvl="0" w:tplc="9C1ED364">
      <w:start w:val="1"/>
      <w:numFmt w:val="decimal"/>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9"/>
  </w:num>
  <w:num w:numId="2">
    <w:abstractNumId w:val="8"/>
  </w:num>
  <w:num w:numId="3">
    <w:abstractNumId w:val="28"/>
  </w:num>
  <w:num w:numId="4">
    <w:abstractNumId w:val="22"/>
  </w:num>
  <w:num w:numId="5">
    <w:abstractNumId w:val="1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19"/>
  </w:num>
  <w:num w:numId="23">
    <w:abstractNumId w:val="24"/>
  </w:num>
  <w:num w:numId="24">
    <w:abstractNumId w:val="16"/>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num>
  <w:num w:numId="31">
    <w:abstractNumId w:val="26"/>
  </w:num>
  <w:num w:numId="32">
    <w:abstractNumId w:val="31"/>
  </w:num>
  <w:num w:numId="33">
    <w:abstractNumId w:val="20"/>
  </w:num>
  <w:num w:numId="34">
    <w:abstractNumId w:val="11"/>
  </w:num>
  <w:num w:numId="35">
    <w:abstractNumId w:val="10"/>
  </w:num>
  <w:num w:numId="36">
    <w:abstractNumId w:val="23"/>
  </w:num>
  <w:num w:numId="37">
    <w:abstractNumId w:val="12"/>
  </w:num>
  <w:num w:numId="38">
    <w:abstractNumId w:val="21"/>
  </w:num>
  <w:num w:numId="39">
    <w:abstractNumId w:val="13"/>
  </w:num>
  <w:num w:numId="40">
    <w:abstractNumId w:val="30"/>
  </w:num>
  <w:num w:numId="41">
    <w:abstractNumId w:val="14"/>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NZ" w:vendorID="64" w:dllVersion="0" w:nlCheck="1" w:checkStyle="0"/>
  <w:activeWritingStyle w:appName="MSWord" w:lang="en-US" w:vendorID="64" w:dllVersion="0" w:nlCheck="1" w:checkStyle="0"/>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15"/>
    <w:rsid w:val="00002875"/>
    <w:rsid w:val="00003033"/>
    <w:rsid w:val="0000348F"/>
    <w:rsid w:val="000064FE"/>
    <w:rsid w:val="00010485"/>
    <w:rsid w:val="00011B35"/>
    <w:rsid w:val="00013429"/>
    <w:rsid w:val="000140C9"/>
    <w:rsid w:val="00015349"/>
    <w:rsid w:val="00016130"/>
    <w:rsid w:val="000169CF"/>
    <w:rsid w:val="00020076"/>
    <w:rsid w:val="00020BD2"/>
    <w:rsid w:val="00022EE1"/>
    <w:rsid w:val="000277C5"/>
    <w:rsid w:val="00031433"/>
    <w:rsid w:val="000321F2"/>
    <w:rsid w:val="000332C8"/>
    <w:rsid w:val="0003780E"/>
    <w:rsid w:val="000410B8"/>
    <w:rsid w:val="00042F11"/>
    <w:rsid w:val="00043A54"/>
    <w:rsid w:val="0004472A"/>
    <w:rsid w:val="00045A69"/>
    <w:rsid w:val="00046ADD"/>
    <w:rsid w:val="000479CA"/>
    <w:rsid w:val="0005247F"/>
    <w:rsid w:val="000539CC"/>
    <w:rsid w:val="00053EE1"/>
    <w:rsid w:val="00056A05"/>
    <w:rsid w:val="00056F6D"/>
    <w:rsid w:val="00057D50"/>
    <w:rsid w:val="00057EA7"/>
    <w:rsid w:val="00061B46"/>
    <w:rsid w:val="00063D74"/>
    <w:rsid w:val="000765BD"/>
    <w:rsid w:val="000802A7"/>
    <w:rsid w:val="000804F9"/>
    <w:rsid w:val="000816BE"/>
    <w:rsid w:val="00083F85"/>
    <w:rsid w:val="00090115"/>
    <w:rsid w:val="00090448"/>
    <w:rsid w:val="0009399E"/>
    <w:rsid w:val="00094489"/>
    <w:rsid w:val="00096AB9"/>
    <w:rsid w:val="00096D73"/>
    <w:rsid w:val="00097977"/>
    <w:rsid w:val="000A2B22"/>
    <w:rsid w:val="000A3C7B"/>
    <w:rsid w:val="000A5A7A"/>
    <w:rsid w:val="000A7F97"/>
    <w:rsid w:val="000B1A79"/>
    <w:rsid w:val="000B2C2A"/>
    <w:rsid w:val="000B3458"/>
    <w:rsid w:val="000B3E18"/>
    <w:rsid w:val="000B4B07"/>
    <w:rsid w:val="000C0B68"/>
    <w:rsid w:val="000C0ECE"/>
    <w:rsid w:val="000C100A"/>
    <w:rsid w:val="000C57ED"/>
    <w:rsid w:val="000C5E83"/>
    <w:rsid w:val="000C5EBB"/>
    <w:rsid w:val="000C5FAF"/>
    <w:rsid w:val="000C617C"/>
    <w:rsid w:val="000D0CFC"/>
    <w:rsid w:val="000D3203"/>
    <w:rsid w:val="000D5370"/>
    <w:rsid w:val="000D5E58"/>
    <w:rsid w:val="000D70C4"/>
    <w:rsid w:val="000D79C2"/>
    <w:rsid w:val="000E09AF"/>
    <w:rsid w:val="000E0CAF"/>
    <w:rsid w:val="000E181D"/>
    <w:rsid w:val="000E3E13"/>
    <w:rsid w:val="000E4E21"/>
    <w:rsid w:val="000F0AC7"/>
    <w:rsid w:val="000F1323"/>
    <w:rsid w:val="000F1EBE"/>
    <w:rsid w:val="000F2295"/>
    <w:rsid w:val="000F2BD8"/>
    <w:rsid w:val="000F5294"/>
    <w:rsid w:val="000F5523"/>
    <w:rsid w:val="000F67CE"/>
    <w:rsid w:val="000F6813"/>
    <w:rsid w:val="001008F7"/>
    <w:rsid w:val="00100B5B"/>
    <w:rsid w:val="00100F11"/>
    <w:rsid w:val="00102C7E"/>
    <w:rsid w:val="001037B8"/>
    <w:rsid w:val="001116C4"/>
    <w:rsid w:val="00112543"/>
    <w:rsid w:val="00112D5A"/>
    <w:rsid w:val="00116AE4"/>
    <w:rsid w:val="001173D7"/>
    <w:rsid w:val="00120F5D"/>
    <w:rsid w:val="00122F74"/>
    <w:rsid w:val="0012507D"/>
    <w:rsid w:val="001260CC"/>
    <w:rsid w:val="00127554"/>
    <w:rsid w:val="00131413"/>
    <w:rsid w:val="00137542"/>
    <w:rsid w:val="00137E7E"/>
    <w:rsid w:val="00137F27"/>
    <w:rsid w:val="0014405F"/>
    <w:rsid w:val="001466AD"/>
    <w:rsid w:val="00146A04"/>
    <w:rsid w:val="00146F64"/>
    <w:rsid w:val="001471F0"/>
    <w:rsid w:val="00150440"/>
    <w:rsid w:val="00153F1A"/>
    <w:rsid w:val="001543C3"/>
    <w:rsid w:val="001552F8"/>
    <w:rsid w:val="001577C7"/>
    <w:rsid w:val="00163ACB"/>
    <w:rsid w:val="00164E96"/>
    <w:rsid w:val="0016604C"/>
    <w:rsid w:val="00166527"/>
    <w:rsid w:val="00171AF8"/>
    <w:rsid w:val="00174DCE"/>
    <w:rsid w:val="00174F10"/>
    <w:rsid w:val="00180310"/>
    <w:rsid w:val="001809CC"/>
    <w:rsid w:val="001818C1"/>
    <w:rsid w:val="0018310D"/>
    <w:rsid w:val="0018645A"/>
    <w:rsid w:val="00187F7F"/>
    <w:rsid w:val="0019189B"/>
    <w:rsid w:val="00191FC7"/>
    <w:rsid w:val="001923D3"/>
    <w:rsid w:val="00192604"/>
    <w:rsid w:val="001970A2"/>
    <w:rsid w:val="001A129E"/>
    <w:rsid w:val="001A19E8"/>
    <w:rsid w:val="001A2419"/>
    <w:rsid w:val="001A38DE"/>
    <w:rsid w:val="001A56DE"/>
    <w:rsid w:val="001A588D"/>
    <w:rsid w:val="001A7003"/>
    <w:rsid w:val="001B09DE"/>
    <w:rsid w:val="001B0DAD"/>
    <w:rsid w:val="001B222E"/>
    <w:rsid w:val="001B6104"/>
    <w:rsid w:val="001B68F5"/>
    <w:rsid w:val="001C09DE"/>
    <w:rsid w:val="001C0D15"/>
    <w:rsid w:val="001C1842"/>
    <w:rsid w:val="001C19C9"/>
    <w:rsid w:val="001C1D42"/>
    <w:rsid w:val="001C31D0"/>
    <w:rsid w:val="001C76BD"/>
    <w:rsid w:val="001D34D9"/>
    <w:rsid w:val="001D5302"/>
    <w:rsid w:val="001D6B87"/>
    <w:rsid w:val="001E4B8C"/>
    <w:rsid w:val="001F16B0"/>
    <w:rsid w:val="001F49FF"/>
    <w:rsid w:val="00200894"/>
    <w:rsid w:val="0020353B"/>
    <w:rsid w:val="00204C07"/>
    <w:rsid w:val="00205692"/>
    <w:rsid w:val="002057C4"/>
    <w:rsid w:val="002062AB"/>
    <w:rsid w:val="002164CE"/>
    <w:rsid w:val="00217DAA"/>
    <w:rsid w:val="00222E0E"/>
    <w:rsid w:val="002312AB"/>
    <w:rsid w:val="002329CB"/>
    <w:rsid w:val="0023375C"/>
    <w:rsid w:val="002348FE"/>
    <w:rsid w:val="0023671E"/>
    <w:rsid w:val="00237C9C"/>
    <w:rsid w:val="00245650"/>
    <w:rsid w:val="0024573F"/>
    <w:rsid w:val="00245D72"/>
    <w:rsid w:val="002467B6"/>
    <w:rsid w:val="00246C64"/>
    <w:rsid w:val="002504CF"/>
    <w:rsid w:val="00251666"/>
    <w:rsid w:val="00251CED"/>
    <w:rsid w:val="00252FE4"/>
    <w:rsid w:val="00253824"/>
    <w:rsid w:val="00256002"/>
    <w:rsid w:val="00256947"/>
    <w:rsid w:val="002603ED"/>
    <w:rsid w:val="00260E0C"/>
    <w:rsid w:val="002617CC"/>
    <w:rsid w:val="00261986"/>
    <w:rsid w:val="00261A34"/>
    <w:rsid w:val="00262043"/>
    <w:rsid w:val="002624F9"/>
    <w:rsid w:val="00262E27"/>
    <w:rsid w:val="002651B9"/>
    <w:rsid w:val="00265658"/>
    <w:rsid w:val="0027006C"/>
    <w:rsid w:val="00270A75"/>
    <w:rsid w:val="00273BC6"/>
    <w:rsid w:val="0027544A"/>
    <w:rsid w:val="002754EF"/>
    <w:rsid w:val="00275D4D"/>
    <w:rsid w:val="00276727"/>
    <w:rsid w:val="00281BBD"/>
    <w:rsid w:val="002820D0"/>
    <w:rsid w:val="002875FC"/>
    <w:rsid w:val="00287D51"/>
    <w:rsid w:val="002969F0"/>
    <w:rsid w:val="00297C76"/>
    <w:rsid w:val="002A0500"/>
    <w:rsid w:val="002B0481"/>
    <w:rsid w:val="002B3BD7"/>
    <w:rsid w:val="002B5503"/>
    <w:rsid w:val="002B6135"/>
    <w:rsid w:val="002C0229"/>
    <w:rsid w:val="002C39DD"/>
    <w:rsid w:val="002C3B37"/>
    <w:rsid w:val="002D0DBC"/>
    <w:rsid w:val="002D0EAB"/>
    <w:rsid w:val="002D2009"/>
    <w:rsid w:val="002D2437"/>
    <w:rsid w:val="002D28E7"/>
    <w:rsid w:val="002D5D2B"/>
    <w:rsid w:val="002E5247"/>
    <w:rsid w:val="002E7D9A"/>
    <w:rsid w:val="002F06B5"/>
    <w:rsid w:val="002F3059"/>
    <w:rsid w:val="003006D9"/>
    <w:rsid w:val="00302698"/>
    <w:rsid w:val="0030337A"/>
    <w:rsid w:val="00303FD5"/>
    <w:rsid w:val="00304E21"/>
    <w:rsid w:val="00306064"/>
    <w:rsid w:val="00310EB5"/>
    <w:rsid w:val="003116B6"/>
    <w:rsid w:val="00311944"/>
    <w:rsid w:val="00311A22"/>
    <w:rsid w:val="00311EE9"/>
    <w:rsid w:val="003128B3"/>
    <w:rsid w:val="00313BC4"/>
    <w:rsid w:val="00314ECB"/>
    <w:rsid w:val="00316576"/>
    <w:rsid w:val="00321245"/>
    <w:rsid w:val="00321408"/>
    <w:rsid w:val="0032197F"/>
    <w:rsid w:val="00322490"/>
    <w:rsid w:val="0032382B"/>
    <w:rsid w:val="00323FF4"/>
    <w:rsid w:val="00325F62"/>
    <w:rsid w:val="00326EAD"/>
    <w:rsid w:val="00327EDF"/>
    <w:rsid w:val="00331C29"/>
    <w:rsid w:val="00344B9E"/>
    <w:rsid w:val="00344BDB"/>
    <w:rsid w:val="0034527B"/>
    <w:rsid w:val="00345D6E"/>
    <w:rsid w:val="0034776B"/>
    <w:rsid w:val="0035228D"/>
    <w:rsid w:val="0035320C"/>
    <w:rsid w:val="0035366D"/>
    <w:rsid w:val="00353762"/>
    <w:rsid w:val="0035671F"/>
    <w:rsid w:val="00373509"/>
    <w:rsid w:val="00376230"/>
    <w:rsid w:val="00377535"/>
    <w:rsid w:val="00377DF6"/>
    <w:rsid w:val="003811EA"/>
    <w:rsid w:val="0038180F"/>
    <w:rsid w:val="00381AC6"/>
    <w:rsid w:val="00382982"/>
    <w:rsid w:val="00382B3E"/>
    <w:rsid w:val="00382CAB"/>
    <w:rsid w:val="0038474F"/>
    <w:rsid w:val="00393DB5"/>
    <w:rsid w:val="00394531"/>
    <w:rsid w:val="003946B1"/>
    <w:rsid w:val="00395547"/>
    <w:rsid w:val="00396EA1"/>
    <w:rsid w:val="003A01F2"/>
    <w:rsid w:val="003A0415"/>
    <w:rsid w:val="003A0959"/>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31BE"/>
    <w:rsid w:val="003C66BB"/>
    <w:rsid w:val="003C699C"/>
    <w:rsid w:val="003C7188"/>
    <w:rsid w:val="003D0992"/>
    <w:rsid w:val="003D451C"/>
    <w:rsid w:val="003D452C"/>
    <w:rsid w:val="003D65DC"/>
    <w:rsid w:val="003D79DD"/>
    <w:rsid w:val="003E0263"/>
    <w:rsid w:val="003E0DB7"/>
    <w:rsid w:val="003E49FE"/>
    <w:rsid w:val="003F078B"/>
    <w:rsid w:val="003F0B02"/>
    <w:rsid w:val="003F177F"/>
    <w:rsid w:val="003F22E2"/>
    <w:rsid w:val="003F2557"/>
    <w:rsid w:val="003F409F"/>
    <w:rsid w:val="00400E98"/>
    <w:rsid w:val="00401ED0"/>
    <w:rsid w:val="00403CFA"/>
    <w:rsid w:val="00405456"/>
    <w:rsid w:val="00406248"/>
    <w:rsid w:val="00407C42"/>
    <w:rsid w:val="00410EF7"/>
    <w:rsid w:val="00414D3E"/>
    <w:rsid w:val="004203B7"/>
    <w:rsid w:val="0042097F"/>
    <w:rsid w:val="00425151"/>
    <w:rsid w:val="0042620F"/>
    <w:rsid w:val="004320F9"/>
    <w:rsid w:val="00433837"/>
    <w:rsid w:val="004433C4"/>
    <w:rsid w:val="00443EDB"/>
    <w:rsid w:val="004468BD"/>
    <w:rsid w:val="0044779A"/>
    <w:rsid w:val="00450284"/>
    <w:rsid w:val="00453911"/>
    <w:rsid w:val="00453BB5"/>
    <w:rsid w:val="00455A03"/>
    <w:rsid w:val="00455B17"/>
    <w:rsid w:val="00455C4C"/>
    <w:rsid w:val="0045620B"/>
    <w:rsid w:val="004572AE"/>
    <w:rsid w:val="00462869"/>
    <w:rsid w:val="0046349D"/>
    <w:rsid w:val="0046357F"/>
    <w:rsid w:val="00463DB2"/>
    <w:rsid w:val="004643F1"/>
    <w:rsid w:val="00465A05"/>
    <w:rsid w:val="00471FF9"/>
    <w:rsid w:val="00472015"/>
    <w:rsid w:val="00472623"/>
    <w:rsid w:val="00472D3E"/>
    <w:rsid w:val="00475AFE"/>
    <w:rsid w:val="00476AE4"/>
    <w:rsid w:val="00477F6A"/>
    <w:rsid w:val="004826E0"/>
    <w:rsid w:val="004866C2"/>
    <w:rsid w:val="00490104"/>
    <w:rsid w:val="00490CE4"/>
    <w:rsid w:val="00490EF4"/>
    <w:rsid w:val="0049244C"/>
    <w:rsid w:val="004940B2"/>
    <w:rsid w:val="00495C99"/>
    <w:rsid w:val="00495EF0"/>
    <w:rsid w:val="00496466"/>
    <w:rsid w:val="004A025E"/>
    <w:rsid w:val="004A2145"/>
    <w:rsid w:val="004A2352"/>
    <w:rsid w:val="004A302C"/>
    <w:rsid w:val="004A4392"/>
    <w:rsid w:val="004A55D6"/>
    <w:rsid w:val="004A5674"/>
    <w:rsid w:val="004A6454"/>
    <w:rsid w:val="004A7AF8"/>
    <w:rsid w:val="004A7BFA"/>
    <w:rsid w:val="004B0769"/>
    <w:rsid w:val="004B17D9"/>
    <w:rsid w:val="004B3717"/>
    <w:rsid w:val="004B5A71"/>
    <w:rsid w:val="004B5C53"/>
    <w:rsid w:val="004B5CE1"/>
    <w:rsid w:val="004B79BE"/>
    <w:rsid w:val="004C057C"/>
    <w:rsid w:val="004C134F"/>
    <w:rsid w:val="004C4225"/>
    <w:rsid w:val="004C6B62"/>
    <w:rsid w:val="004C74D5"/>
    <w:rsid w:val="004D1548"/>
    <w:rsid w:val="004D1AF2"/>
    <w:rsid w:val="004D1BC1"/>
    <w:rsid w:val="004D238A"/>
    <w:rsid w:val="004D2B8F"/>
    <w:rsid w:val="004D3367"/>
    <w:rsid w:val="004D4D61"/>
    <w:rsid w:val="004D6A33"/>
    <w:rsid w:val="004E0939"/>
    <w:rsid w:val="004E62E2"/>
    <w:rsid w:val="004E7309"/>
    <w:rsid w:val="004E77B3"/>
    <w:rsid w:val="004F42A2"/>
    <w:rsid w:val="004F7CFC"/>
    <w:rsid w:val="005015E8"/>
    <w:rsid w:val="005024D0"/>
    <w:rsid w:val="00505BAC"/>
    <w:rsid w:val="00507906"/>
    <w:rsid w:val="00513343"/>
    <w:rsid w:val="005135BC"/>
    <w:rsid w:val="0051469E"/>
    <w:rsid w:val="0051492C"/>
    <w:rsid w:val="005149D1"/>
    <w:rsid w:val="00515B27"/>
    <w:rsid w:val="00522D98"/>
    <w:rsid w:val="005231B2"/>
    <w:rsid w:val="00525529"/>
    <w:rsid w:val="00527AAB"/>
    <w:rsid w:val="00531009"/>
    <w:rsid w:val="00534E8D"/>
    <w:rsid w:val="005352BB"/>
    <w:rsid w:val="0053684B"/>
    <w:rsid w:val="00536A08"/>
    <w:rsid w:val="00537987"/>
    <w:rsid w:val="00537EDF"/>
    <w:rsid w:val="00542CF8"/>
    <w:rsid w:val="00543D70"/>
    <w:rsid w:val="00545E53"/>
    <w:rsid w:val="00547077"/>
    <w:rsid w:val="00550E48"/>
    <w:rsid w:val="00551EF0"/>
    <w:rsid w:val="00552619"/>
    <w:rsid w:val="00552EC5"/>
    <w:rsid w:val="00553729"/>
    <w:rsid w:val="005556D0"/>
    <w:rsid w:val="005569CB"/>
    <w:rsid w:val="00556D46"/>
    <w:rsid w:val="00556E36"/>
    <w:rsid w:val="00557A84"/>
    <w:rsid w:val="00560867"/>
    <w:rsid w:val="00564274"/>
    <w:rsid w:val="005657C9"/>
    <w:rsid w:val="00565919"/>
    <w:rsid w:val="00565949"/>
    <w:rsid w:val="00566831"/>
    <w:rsid w:val="00567DFD"/>
    <w:rsid w:val="00570641"/>
    <w:rsid w:val="005708C4"/>
    <w:rsid w:val="00574D38"/>
    <w:rsid w:val="00577331"/>
    <w:rsid w:val="00580731"/>
    <w:rsid w:val="00582DF0"/>
    <w:rsid w:val="0058339C"/>
    <w:rsid w:val="0058390A"/>
    <w:rsid w:val="005864B6"/>
    <w:rsid w:val="00586CC6"/>
    <w:rsid w:val="00590915"/>
    <w:rsid w:val="00590E6E"/>
    <w:rsid w:val="00590FC4"/>
    <w:rsid w:val="00591646"/>
    <w:rsid w:val="00593360"/>
    <w:rsid w:val="00594E8A"/>
    <w:rsid w:val="00596ED5"/>
    <w:rsid w:val="005A22D8"/>
    <w:rsid w:val="005A6B1E"/>
    <w:rsid w:val="005A7F13"/>
    <w:rsid w:val="005B0142"/>
    <w:rsid w:val="005B16BC"/>
    <w:rsid w:val="005B555C"/>
    <w:rsid w:val="005B73DB"/>
    <w:rsid w:val="005B7C30"/>
    <w:rsid w:val="005C0408"/>
    <w:rsid w:val="005C6D42"/>
    <w:rsid w:val="005D0CCC"/>
    <w:rsid w:val="005D38C8"/>
    <w:rsid w:val="005D5FF4"/>
    <w:rsid w:val="005E09C2"/>
    <w:rsid w:val="005E47D8"/>
    <w:rsid w:val="005E490D"/>
    <w:rsid w:val="005E510F"/>
    <w:rsid w:val="005E56F8"/>
    <w:rsid w:val="005E7C4C"/>
    <w:rsid w:val="005F04B9"/>
    <w:rsid w:val="005F3AF3"/>
    <w:rsid w:val="005F48C5"/>
    <w:rsid w:val="005F4F49"/>
    <w:rsid w:val="005F56C1"/>
    <w:rsid w:val="005F62C6"/>
    <w:rsid w:val="006056C3"/>
    <w:rsid w:val="0060574D"/>
    <w:rsid w:val="0060794C"/>
    <w:rsid w:val="006108C5"/>
    <w:rsid w:val="006121A8"/>
    <w:rsid w:val="006121FC"/>
    <w:rsid w:val="00614A49"/>
    <w:rsid w:val="006151A0"/>
    <w:rsid w:val="00621BE3"/>
    <w:rsid w:val="006231F7"/>
    <w:rsid w:val="0062359A"/>
    <w:rsid w:val="00624DCB"/>
    <w:rsid w:val="00633154"/>
    <w:rsid w:val="006331EB"/>
    <w:rsid w:val="006364AB"/>
    <w:rsid w:val="00637707"/>
    <w:rsid w:val="006426B7"/>
    <w:rsid w:val="006462B9"/>
    <w:rsid w:val="00650353"/>
    <w:rsid w:val="0065103F"/>
    <w:rsid w:val="006516BC"/>
    <w:rsid w:val="00652FD4"/>
    <w:rsid w:val="006540EE"/>
    <w:rsid w:val="00655B51"/>
    <w:rsid w:val="00655BB4"/>
    <w:rsid w:val="00660305"/>
    <w:rsid w:val="00661EA4"/>
    <w:rsid w:val="00661EEC"/>
    <w:rsid w:val="0066246D"/>
    <w:rsid w:val="006628C4"/>
    <w:rsid w:val="00662AA6"/>
    <w:rsid w:val="00663793"/>
    <w:rsid w:val="00666888"/>
    <w:rsid w:val="00667AD4"/>
    <w:rsid w:val="00671391"/>
    <w:rsid w:val="006745D2"/>
    <w:rsid w:val="006745E4"/>
    <w:rsid w:val="00677404"/>
    <w:rsid w:val="00681955"/>
    <w:rsid w:val="006873F3"/>
    <w:rsid w:val="00692D17"/>
    <w:rsid w:val="00693043"/>
    <w:rsid w:val="00695D99"/>
    <w:rsid w:val="00696140"/>
    <w:rsid w:val="006A0902"/>
    <w:rsid w:val="006A0F89"/>
    <w:rsid w:val="006A1558"/>
    <w:rsid w:val="006A2E6C"/>
    <w:rsid w:val="006A3B33"/>
    <w:rsid w:val="006A3E52"/>
    <w:rsid w:val="006A660F"/>
    <w:rsid w:val="006A6989"/>
    <w:rsid w:val="006B29B6"/>
    <w:rsid w:val="006B32A8"/>
    <w:rsid w:val="006B4295"/>
    <w:rsid w:val="006B601E"/>
    <w:rsid w:val="006C08F5"/>
    <w:rsid w:val="006C09EB"/>
    <w:rsid w:val="006C4B08"/>
    <w:rsid w:val="006C5DEE"/>
    <w:rsid w:val="006D0826"/>
    <w:rsid w:val="006D0EC4"/>
    <w:rsid w:val="006D1035"/>
    <w:rsid w:val="006D3FB8"/>
    <w:rsid w:val="006D4846"/>
    <w:rsid w:val="006D5471"/>
    <w:rsid w:val="006D609B"/>
    <w:rsid w:val="006D7C04"/>
    <w:rsid w:val="006E0DAA"/>
    <w:rsid w:val="006E77CF"/>
    <w:rsid w:val="006F09B3"/>
    <w:rsid w:val="006F0DB9"/>
    <w:rsid w:val="006F1D38"/>
    <w:rsid w:val="006F6913"/>
    <w:rsid w:val="006F7CD4"/>
    <w:rsid w:val="0070059C"/>
    <w:rsid w:val="00700BDA"/>
    <w:rsid w:val="00701007"/>
    <w:rsid w:val="00702615"/>
    <w:rsid w:val="00704F6B"/>
    <w:rsid w:val="00705F47"/>
    <w:rsid w:val="007067BD"/>
    <w:rsid w:val="00712167"/>
    <w:rsid w:val="007125C7"/>
    <w:rsid w:val="00714033"/>
    <w:rsid w:val="0072083B"/>
    <w:rsid w:val="007213D4"/>
    <w:rsid w:val="00722EF9"/>
    <w:rsid w:val="007264AD"/>
    <w:rsid w:val="00726882"/>
    <w:rsid w:val="00727775"/>
    <w:rsid w:val="00727A78"/>
    <w:rsid w:val="00731113"/>
    <w:rsid w:val="00735A2F"/>
    <w:rsid w:val="00741ABD"/>
    <w:rsid w:val="007421DF"/>
    <w:rsid w:val="00743141"/>
    <w:rsid w:val="00744402"/>
    <w:rsid w:val="007448AE"/>
    <w:rsid w:val="00745F78"/>
    <w:rsid w:val="00746BA4"/>
    <w:rsid w:val="00746E83"/>
    <w:rsid w:val="00750510"/>
    <w:rsid w:val="00750A1E"/>
    <w:rsid w:val="00751364"/>
    <w:rsid w:val="007539DA"/>
    <w:rsid w:val="0075494A"/>
    <w:rsid w:val="0075565C"/>
    <w:rsid w:val="00762EBE"/>
    <w:rsid w:val="00763FD2"/>
    <w:rsid w:val="007640F2"/>
    <w:rsid w:val="0076545F"/>
    <w:rsid w:val="00765FF0"/>
    <w:rsid w:val="00766116"/>
    <w:rsid w:val="00766C8F"/>
    <w:rsid w:val="007715C1"/>
    <w:rsid w:val="00771A67"/>
    <w:rsid w:val="0077312A"/>
    <w:rsid w:val="00774971"/>
    <w:rsid w:val="00775143"/>
    <w:rsid w:val="00776CD4"/>
    <w:rsid w:val="00787E4D"/>
    <w:rsid w:val="00795283"/>
    <w:rsid w:val="007A2B85"/>
    <w:rsid w:val="007A453B"/>
    <w:rsid w:val="007A53C3"/>
    <w:rsid w:val="007A5678"/>
    <w:rsid w:val="007B1300"/>
    <w:rsid w:val="007B1C1E"/>
    <w:rsid w:val="007B38CB"/>
    <w:rsid w:val="007B38F5"/>
    <w:rsid w:val="007B4067"/>
    <w:rsid w:val="007B4CE7"/>
    <w:rsid w:val="007B6271"/>
    <w:rsid w:val="007C2457"/>
    <w:rsid w:val="007C270A"/>
    <w:rsid w:val="007C2D90"/>
    <w:rsid w:val="007C31D3"/>
    <w:rsid w:val="007C3D29"/>
    <w:rsid w:val="007C4C90"/>
    <w:rsid w:val="007C71B2"/>
    <w:rsid w:val="007C7C12"/>
    <w:rsid w:val="007D0A8E"/>
    <w:rsid w:val="007D12F8"/>
    <w:rsid w:val="007D1FED"/>
    <w:rsid w:val="007D3AAB"/>
    <w:rsid w:val="007D4CDC"/>
    <w:rsid w:val="007D61EE"/>
    <w:rsid w:val="007D694B"/>
    <w:rsid w:val="007E0055"/>
    <w:rsid w:val="007E1333"/>
    <w:rsid w:val="007E33E0"/>
    <w:rsid w:val="007E36FC"/>
    <w:rsid w:val="007E55D9"/>
    <w:rsid w:val="007E5F68"/>
    <w:rsid w:val="007E6054"/>
    <w:rsid w:val="007E7C62"/>
    <w:rsid w:val="007E7F07"/>
    <w:rsid w:val="007F090A"/>
    <w:rsid w:val="007F2101"/>
    <w:rsid w:val="007F2B53"/>
    <w:rsid w:val="007F35EF"/>
    <w:rsid w:val="007F3BFC"/>
    <w:rsid w:val="00801B04"/>
    <w:rsid w:val="00802096"/>
    <w:rsid w:val="00804931"/>
    <w:rsid w:val="00805546"/>
    <w:rsid w:val="008122BA"/>
    <w:rsid w:val="00815E66"/>
    <w:rsid w:val="00820AD2"/>
    <w:rsid w:val="00821162"/>
    <w:rsid w:val="008226FF"/>
    <w:rsid w:val="00825CD7"/>
    <w:rsid w:val="00832359"/>
    <w:rsid w:val="00832C9A"/>
    <w:rsid w:val="008370C0"/>
    <w:rsid w:val="00840A9C"/>
    <w:rsid w:val="008424A8"/>
    <w:rsid w:val="008449E6"/>
    <w:rsid w:val="00844DD4"/>
    <w:rsid w:val="00845B52"/>
    <w:rsid w:val="008465B0"/>
    <w:rsid w:val="0084702D"/>
    <w:rsid w:val="00851231"/>
    <w:rsid w:val="00851BA2"/>
    <w:rsid w:val="0085639E"/>
    <w:rsid w:val="008711D0"/>
    <w:rsid w:val="00873D93"/>
    <w:rsid w:val="00875DCA"/>
    <w:rsid w:val="00877D93"/>
    <w:rsid w:val="00880DB1"/>
    <w:rsid w:val="00887BD6"/>
    <w:rsid w:val="00891B23"/>
    <w:rsid w:val="00892CAE"/>
    <w:rsid w:val="00896537"/>
    <w:rsid w:val="00897242"/>
    <w:rsid w:val="008A1103"/>
    <w:rsid w:val="008A163E"/>
    <w:rsid w:val="008A2D81"/>
    <w:rsid w:val="008A57F1"/>
    <w:rsid w:val="008A74E8"/>
    <w:rsid w:val="008A7597"/>
    <w:rsid w:val="008A7BD2"/>
    <w:rsid w:val="008B14DC"/>
    <w:rsid w:val="008B2C90"/>
    <w:rsid w:val="008B4D05"/>
    <w:rsid w:val="008B57D0"/>
    <w:rsid w:val="008B632E"/>
    <w:rsid w:val="008C1302"/>
    <w:rsid w:val="008C213B"/>
    <w:rsid w:val="008C2941"/>
    <w:rsid w:val="008C6A73"/>
    <w:rsid w:val="008D16A7"/>
    <w:rsid w:val="008D1D1D"/>
    <w:rsid w:val="008D4C46"/>
    <w:rsid w:val="008D522B"/>
    <w:rsid w:val="008D6A5D"/>
    <w:rsid w:val="008D78AB"/>
    <w:rsid w:val="008E06B1"/>
    <w:rsid w:val="008E23F0"/>
    <w:rsid w:val="008E3455"/>
    <w:rsid w:val="008E5556"/>
    <w:rsid w:val="008E6E68"/>
    <w:rsid w:val="008E6E6E"/>
    <w:rsid w:val="008F0002"/>
    <w:rsid w:val="008F17EC"/>
    <w:rsid w:val="008F28FC"/>
    <w:rsid w:val="008F4029"/>
    <w:rsid w:val="008F4E75"/>
    <w:rsid w:val="008F514A"/>
    <w:rsid w:val="008F56DC"/>
    <w:rsid w:val="008F5A4B"/>
    <w:rsid w:val="00901423"/>
    <w:rsid w:val="00902DE6"/>
    <w:rsid w:val="009060F5"/>
    <w:rsid w:val="00907F4F"/>
    <w:rsid w:val="009108C8"/>
    <w:rsid w:val="009115BD"/>
    <w:rsid w:val="00911C58"/>
    <w:rsid w:val="00914E21"/>
    <w:rsid w:val="00916188"/>
    <w:rsid w:val="009243E4"/>
    <w:rsid w:val="009251B9"/>
    <w:rsid w:val="00930476"/>
    <w:rsid w:val="00931A24"/>
    <w:rsid w:val="00932BB3"/>
    <w:rsid w:val="00933AE8"/>
    <w:rsid w:val="00937430"/>
    <w:rsid w:val="0093753E"/>
    <w:rsid w:val="00937940"/>
    <w:rsid w:val="009415D6"/>
    <w:rsid w:val="00943774"/>
    <w:rsid w:val="00943AC9"/>
    <w:rsid w:val="00950AD7"/>
    <w:rsid w:val="009513FE"/>
    <w:rsid w:val="00952F5F"/>
    <w:rsid w:val="0095462F"/>
    <w:rsid w:val="00957070"/>
    <w:rsid w:val="009611B2"/>
    <w:rsid w:val="0096371C"/>
    <w:rsid w:val="00964C84"/>
    <w:rsid w:val="00967015"/>
    <w:rsid w:val="00970CEF"/>
    <w:rsid w:val="00972DC0"/>
    <w:rsid w:val="00975A70"/>
    <w:rsid w:val="00976D08"/>
    <w:rsid w:val="009774FB"/>
    <w:rsid w:val="00977AE9"/>
    <w:rsid w:val="00981896"/>
    <w:rsid w:val="00982095"/>
    <w:rsid w:val="00986137"/>
    <w:rsid w:val="009866DC"/>
    <w:rsid w:val="00993EFC"/>
    <w:rsid w:val="00994065"/>
    <w:rsid w:val="009944C7"/>
    <w:rsid w:val="00996277"/>
    <w:rsid w:val="00996DA2"/>
    <w:rsid w:val="0099796C"/>
    <w:rsid w:val="00997E41"/>
    <w:rsid w:val="009A0785"/>
    <w:rsid w:val="009A34CD"/>
    <w:rsid w:val="009A7089"/>
    <w:rsid w:val="009B09D2"/>
    <w:rsid w:val="009B5F4B"/>
    <w:rsid w:val="009B69C8"/>
    <w:rsid w:val="009B7D8F"/>
    <w:rsid w:val="009C25FC"/>
    <w:rsid w:val="009C27E9"/>
    <w:rsid w:val="009C3E2A"/>
    <w:rsid w:val="009C70B4"/>
    <w:rsid w:val="009D04C9"/>
    <w:rsid w:val="009D0A5E"/>
    <w:rsid w:val="009D1142"/>
    <w:rsid w:val="009D1B9D"/>
    <w:rsid w:val="009D3BB7"/>
    <w:rsid w:val="009D7352"/>
    <w:rsid w:val="009E0E11"/>
    <w:rsid w:val="009E46E2"/>
    <w:rsid w:val="009E4BE0"/>
    <w:rsid w:val="009E57BC"/>
    <w:rsid w:val="009F4365"/>
    <w:rsid w:val="009F52F6"/>
    <w:rsid w:val="009F5559"/>
    <w:rsid w:val="009F6AA0"/>
    <w:rsid w:val="009F6CDB"/>
    <w:rsid w:val="00A00824"/>
    <w:rsid w:val="00A00AF1"/>
    <w:rsid w:val="00A01ABD"/>
    <w:rsid w:val="00A05B7C"/>
    <w:rsid w:val="00A064A1"/>
    <w:rsid w:val="00A067CE"/>
    <w:rsid w:val="00A0746A"/>
    <w:rsid w:val="00A105F0"/>
    <w:rsid w:val="00A10DFC"/>
    <w:rsid w:val="00A10E1F"/>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73C9"/>
    <w:rsid w:val="00A611E3"/>
    <w:rsid w:val="00A624D7"/>
    <w:rsid w:val="00A62998"/>
    <w:rsid w:val="00A6453C"/>
    <w:rsid w:val="00A64AE3"/>
    <w:rsid w:val="00A657D2"/>
    <w:rsid w:val="00A660B2"/>
    <w:rsid w:val="00A7070F"/>
    <w:rsid w:val="00A75695"/>
    <w:rsid w:val="00A7597B"/>
    <w:rsid w:val="00A75ADF"/>
    <w:rsid w:val="00A75E1A"/>
    <w:rsid w:val="00A76630"/>
    <w:rsid w:val="00A77515"/>
    <w:rsid w:val="00A8080A"/>
    <w:rsid w:val="00A81676"/>
    <w:rsid w:val="00A83185"/>
    <w:rsid w:val="00A85DE9"/>
    <w:rsid w:val="00A8761C"/>
    <w:rsid w:val="00A94C2A"/>
    <w:rsid w:val="00A954CE"/>
    <w:rsid w:val="00A96C7C"/>
    <w:rsid w:val="00A973BB"/>
    <w:rsid w:val="00A97409"/>
    <w:rsid w:val="00A9770E"/>
    <w:rsid w:val="00AA1535"/>
    <w:rsid w:val="00AA2106"/>
    <w:rsid w:val="00AA3BE0"/>
    <w:rsid w:val="00AA3D22"/>
    <w:rsid w:val="00AA6437"/>
    <w:rsid w:val="00AB0FFA"/>
    <w:rsid w:val="00AB1374"/>
    <w:rsid w:val="00AB3D2E"/>
    <w:rsid w:val="00AB47AA"/>
    <w:rsid w:val="00AB63E4"/>
    <w:rsid w:val="00AB7188"/>
    <w:rsid w:val="00AC0E00"/>
    <w:rsid w:val="00AC1778"/>
    <w:rsid w:val="00AC1E6F"/>
    <w:rsid w:val="00AC433A"/>
    <w:rsid w:val="00AC66BB"/>
    <w:rsid w:val="00AD1C48"/>
    <w:rsid w:val="00AD2654"/>
    <w:rsid w:val="00AD37A8"/>
    <w:rsid w:val="00AD4D2C"/>
    <w:rsid w:val="00AD712A"/>
    <w:rsid w:val="00AD7D27"/>
    <w:rsid w:val="00AE0D52"/>
    <w:rsid w:val="00AE21EC"/>
    <w:rsid w:val="00AE3BAC"/>
    <w:rsid w:val="00AE7E26"/>
    <w:rsid w:val="00AF206C"/>
    <w:rsid w:val="00AF229B"/>
    <w:rsid w:val="00AF26A3"/>
    <w:rsid w:val="00AF5115"/>
    <w:rsid w:val="00AF73E1"/>
    <w:rsid w:val="00B00E7B"/>
    <w:rsid w:val="00B03A42"/>
    <w:rsid w:val="00B1074D"/>
    <w:rsid w:val="00B12809"/>
    <w:rsid w:val="00B12EBA"/>
    <w:rsid w:val="00B160FF"/>
    <w:rsid w:val="00B17146"/>
    <w:rsid w:val="00B173B2"/>
    <w:rsid w:val="00B23CAB"/>
    <w:rsid w:val="00B2425C"/>
    <w:rsid w:val="00B24B12"/>
    <w:rsid w:val="00B268B1"/>
    <w:rsid w:val="00B30E07"/>
    <w:rsid w:val="00B326AA"/>
    <w:rsid w:val="00B35832"/>
    <w:rsid w:val="00B3599E"/>
    <w:rsid w:val="00B413EE"/>
    <w:rsid w:val="00B41E84"/>
    <w:rsid w:val="00B42DB0"/>
    <w:rsid w:val="00B44A2B"/>
    <w:rsid w:val="00B46699"/>
    <w:rsid w:val="00B47BC7"/>
    <w:rsid w:val="00B50363"/>
    <w:rsid w:val="00B52E2C"/>
    <w:rsid w:val="00B547EA"/>
    <w:rsid w:val="00B565C2"/>
    <w:rsid w:val="00B572C8"/>
    <w:rsid w:val="00B5774D"/>
    <w:rsid w:val="00B61935"/>
    <w:rsid w:val="00B62332"/>
    <w:rsid w:val="00B633AD"/>
    <w:rsid w:val="00B63B49"/>
    <w:rsid w:val="00B64A0F"/>
    <w:rsid w:val="00B6742A"/>
    <w:rsid w:val="00B6770A"/>
    <w:rsid w:val="00B71990"/>
    <w:rsid w:val="00B754CE"/>
    <w:rsid w:val="00B80922"/>
    <w:rsid w:val="00B80DD6"/>
    <w:rsid w:val="00B81D39"/>
    <w:rsid w:val="00B81F30"/>
    <w:rsid w:val="00B90AF4"/>
    <w:rsid w:val="00B928C7"/>
    <w:rsid w:val="00B92EC1"/>
    <w:rsid w:val="00B92FA3"/>
    <w:rsid w:val="00B9445C"/>
    <w:rsid w:val="00B9737E"/>
    <w:rsid w:val="00B97E47"/>
    <w:rsid w:val="00BA0828"/>
    <w:rsid w:val="00BA354E"/>
    <w:rsid w:val="00BA378A"/>
    <w:rsid w:val="00BA463A"/>
    <w:rsid w:val="00BB0CE0"/>
    <w:rsid w:val="00BB6C06"/>
    <w:rsid w:val="00BB6FD7"/>
    <w:rsid w:val="00BB7BE3"/>
    <w:rsid w:val="00BC2FCA"/>
    <w:rsid w:val="00BC40EE"/>
    <w:rsid w:val="00BC4F22"/>
    <w:rsid w:val="00BD1C3D"/>
    <w:rsid w:val="00BD5430"/>
    <w:rsid w:val="00BE03CD"/>
    <w:rsid w:val="00BE1D35"/>
    <w:rsid w:val="00BE2264"/>
    <w:rsid w:val="00BE2339"/>
    <w:rsid w:val="00BE385C"/>
    <w:rsid w:val="00BF06B3"/>
    <w:rsid w:val="00BF13F0"/>
    <w:rsid w:val="00BF1B4C"/>
    <w:rsid w:val="00BF34DB"/>
    <w:rsid w:val="00BF73EF"/>
    <w:rsid w:val="00BF7BCD"/>
    <w:rsid w:val="00C024AD"/>
    <w:rsid w:val="00C04A0F"/>
    <w:rsid w:val="00C05B0E"/>
    <w:rsid w:val="00C07701"/>
    <w:rsid w:val="00C108B4"/>
    <w:rsid w:val="00C1228B"/>
    <w:rsid w:val="00C13988"/>
    <w:rsid w:val="00C140ED"/>
    <w:rsid w:val="00C141FE"/>
    <w:rsid w:val="00C166A9"/>
    <w:rsid w:val="00C17189"/>
    <w:rsid w:val="00C241BE"/>
    <w:rsid w:val="00C24EE4"/>
    <w:rsid w:val="00C27069"/>
    <w:rsid w:val="00C321DA"/>
    <w:rsid w:val="00C41D78"/>
    <w:rsid w:val="00C43D67"/>
    <w:rsid w:val="00C441A4"/>
    <w:rsid w:val="00C46458"/>
    <w:rsid w:val="00C46C39"/>
    <w:rsid w:val="00C5248F"/>
    <w:rsid w:val="00C525DE"/>
    <w:rsid w:val="00C55E52"/>
    <w:rsid w:val="00C60020"/>
    <w:rsid w:val="00C61381"/>
    <w:rsid w:val="00C61B7D"/>
    <w:rsid w:val="00C61E5B"/>
    <w:rsid w:val="00C62212"/>
    <w:rsid w:val="00C62857"/>
    <w:rsid w:val="00C64EE0"/>
    <w:rsid w:val="00C66304"/>
    <w:rsid w:val="00C673F2"/>
    <w:rsid w:val="00C700C1"/>
    <w:rsid w:val="00C70374"/>
    <w:rsid w:val="00C74F03"/>
    <w:rsid w:val="00C7585B"/>
    <w:rsid w:val="00C75E92"/>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B083F"/>
    <w:rsid w:val="00CB144D"/>
    <w:rsid w:val="00CB52FB"/>
    <w:rsid w:val="00CB6181"/>
    <w:rsid w:val="00CB6E29"/>
    <w:rsid w:val="00CB79BA"/>
    <w:rsid w:val="00CC19DF"/>
    <w:rsid w:val="00CC1EBD"/>
    <w:rsid w:val="00CC2C48"/>
    <w:rsid w:val="00CC506A"/>
    <w:rsid w:val="00CD0923"/>
    <w:rsid w:val="00CD29A7"/>
    <w:rsid w:val="00CD3B29"/>
    <w:rsid w:val="00CD3EF8"/>
    <w:rsid w:val="00CD42CD"/>
    <w:rsid w:val="00CD533A"/>
    <w:rsid w:val="00CD5D83"/>
    <w:rsid w:val="00CD61E1"/>
    <w:rsid w:val="00CD7D35"/>
    <w:rsid w:val="00CD7ECB"/>
    <w:rsid w:val="00CE0C94"/>
    <w:rsid w:val="00CE1211"/>
    <w:rsid w:val="00CE7084"/>
    <w:rsid w:val="00CE7739"/>
    <w:rsid w:val="00CF1C65"/>
    <w:rsid w:val="00CF1D68"/>
    <w:rsid w:val="00CF34AA"/>
    <w:rsid w:val="00CF7051"/>
    <w:rsid w:val="00CF7B7F"/>
    <w:rsid w:val="00D0451B"/>
    <w:rsid w:val="00D045E4"/>
    <w:rsid w:val="00D0487B"/>
    <w:rsid w:val="00D061B3"/>
    <w:rsid w:val="00D071AB"/>
    <w:rsid w:val="00D07BF4"/>
    <w:rsid w:val="00D1100B"/>
    <w:rsid w:val="00D11E2A"/>
    <w:rsid w:val="00D12C0A"/>
    <w:rsid w:val="00D17252"/>
    <w:rsid w:val="00D17849"/>
    <w:rsid w:val="00D20E8C"/>
    <w:rsid w:val="00D21065"/>
    <w:rsid w:val="00D235D4"/>
    <w:rsid w:val="00D253D1"/>
    <w:rsid w:val="00D265E7"/>
    <w:rsid w:val="00D3032F"/>
    <w:rsid w:val="00D32CBE"/>
    <w:rsid w:val="00D33EE3"/>
    <w:rsid w:val="00D35DB0"/>
    <w:rsid w:val="00D4274D"/>
    <w:rsid w:val="00D45732"/>
    <w:rsid w:val="00D474F7"/>
    <w:rsid w:val="00D47EAE"/>
    <w:rsid w:val="00D514A1"/>
    <w:rsid w:val="00D52E48"/>
    <w:rsid w:val="00D53CF2"/>
    <w:rsid w:val="00D5482A"/>
    <w:rsid w:val="00D5648A"/>
    <w:rsid w:val="00D62654"/>
    <w:rsid w:val="00D66C78"/>
    <w:rsid w:val="00D71DE8"/>
    <w:rsid w:val="00D84B40"/>
    <w:rsid w:val="00D87BFA"/>
    <w:rsid w:val="00D90D28"/>
    <w:rsid w:val="00D916C6"/>
    <w:rsid w:val="00D958FF"/>
    <w:rsid w:val="00DA4F63"/>
    <w:rsid w:val="00DA7236"/>
    <w:rsid w:val="00DB0323"/>
    <w:rsid w:val="00DB10B5"/>
    <w:rsid w:val="00DB3B70"/>
    <w:rsid w:val="00DB4995"/>
    <w:rsid w:val="00DB6DC8"/>
    <w:rsid w:val="00DC089B"/>
    <w:rsid w:val="00DC0AA5"/>
    <w:rsid w:val="00DC40CA"/>
    <w:rsid w:val="00DC4C84"/>
    <w:rsid w:val="00DC4E3A"/>
    <w:rsid w:val="00DC77D1"/>
    <w:rsid w:val="00DD1F30"/>
    <w:rsid w:val="00DD347C"/>
    <w:rsid w:val="00DD43D8"/>
    <w:rsid w:val="00DD4A6E"/>
    <w:rsid w:val="00DD7D14"/>
    <w:rsid w:val="00DE0462"/>
    <w:rsid w:val="00DE1C47"/>
    <w:rsid w:val="00DE3A3E"/>
    <w:rsid w:val="00DE4B3F"/>
    <w:rsid w:val="00DE5B5A"/>
    <w:rsid w:val="00DF1BDE"/>
    <w:rsid w:val="00DF2B46"/>
    <w:rsid w:val="00DF320D"/>
    <w:rsid w:val="00DF4736"/>
    <w:rsid w:val="00DF7720"/>
    <w:rsid w:val="00DF7D4C"/>
    <w:rsid w:val="00E008F6"/>
    <w:rsid w:val="00E010D1"/>
    <w:rsid w:val="00E02938"/>
    <w:rsid w:val="00E10F8A"/>
    <w:rsid w:val="00E1188E"/>
    <w:rsid w:val="00E1200E"/>
    <w:rsid w:val="00E1422A"/>
    <w:rsid w:val="00E14B9F"/>
    <w:rsid w:val="00E16329"/>
    <w:rsid w:val="00E16FBE"/>
    <w:rsid w:val="00E20E47"/>
    <w:rsid w:val="00E22C2A"/>
    <w:rsid w:val="00E333A1"/>
    <w:rsid w:val="00E33ED6"/>
    <w:rsid w:val="00E357F7"/>
    <w:rsid w:val="00E35A6E"/>
    <w:rsid w:val="00E421CD"/>
    <w:rsid w:val="00E4264A"/>
    <w:rsid w:val="00E44C6B"/>
    <w:rsid w:val="00E45190"/>
    <w:rsid w:val="00E470C8"/>
    <w:rsid w:val="00E50464"/>
    <w:rsid w:val="00E538EB"/>
    <w:rsid w:val="00E5517E"/>
    <w:rsid w:val="00E5568F"/>
    <w:rsid w:val="00E600F5"/>
    <w:rsid w:val="00E63247"/>
    <w:rsid w:val="00E64CB8"/>
    <w:rsid w:val="00E665B1"/>
    <w:rsid w:val="00E67558"/>
    <w:rsid w:val="00E73D92"/>
    <w:rsid w:val="00E73FE0"/>
    <w:rsid w:val="00E75A45"/>
    <w:rsid w:val="00E772EB"/>
    <w:rsid w:val="00E777F8"/>
    <w:rsid w:val="00E811C6"/>
    <w:rsid w:val="00E81629"/>
    <w:rsid w:val="00E82378"/>
    <w:rsid w:val="00E82E7F"/>
    <w:rsid w:val="00E848B9"/>
    <w:rsid w:val="00E8580E"/>
    <w:rsid w:val="00E8648D"/>
    <w:rsid w:val="00E86D46"/>
    <w:rsid w:val="00E91867"/>
    <w:rsid w:val="00E95383"/>
    <w:rsid w:val="00E96BAB"/>
    <w:rsid w:val="00EA06FF"/>
    <w:rsid w:val="00EA1900"/>
    <w:rsid w:val="00EA1DE4"/>
    <w:rsid w:val="00EA3235"/>
    <w:rsid w:val="00EA5673"/>
    <w:rsid w:val="00EA7D32"/>
    <w:rsid w:val="00EB2001"/>
    <w:rsid w:val="00EB4CDB"/>
    <w:rsid w:val="00EC1E23"/>
    <w:rsid w:val="00EC276D"/>
    <w:rsid w:val="00EC2B28"/>
    <w:rsid w:val="00ED1384"/>
    <w:rsid w:val="00ED1AFF"/>
    <w:rsid w:val="00ED2B6D"/>
    <w:rsid w:val="00ED7D4D"/>
    <w:rsid w:val="00EE5214"/>
    <w:rsid w:val="00EE521D"/>
    <w:rsid w:val="00EE772F"/>
    <w:rsid w:val="00EE778C"/>
    <w:rsid w:val="00EF0AF3"/>
    <w:rsid w:val="00EF2DE1"/>
    <w:rsid w:val="00EF4904"/>
    <w:rsid w:val="00EF773A"/>
    <w:rsid w:val="00F01819"/>
    <w:rsid w:val="00F029E7"/>
    <w:rsid w:val="00F02B8C"/>
    <w:rsid w:val="00F036AC"/>
    <w:rsid w:val="00F110F5"/>
    <w:rsid w:val="00F14873"/>
    <w:rsid w:val="00F150D7"/>
    <w:rsid w:val="00F15F0F"/>
    <w:rsid w:val="00F17743"/>
    <w:rsid w:val="00F218C3"/>
    <w:rsid w:val="00F226F4"/>
    <w:rsid w:val="00F246F4"/>
    <w:rsid w:val="00F24744"/>
    <w:rsid w:val="00F249EA"/>
    <w:rsid w:val="00F257BA"/>
    <w:rsid w:val="00F26F3C"/>
    <w:rsid w:val="00F274B5"/>
    <w:rsid w:val="00F30506"/>
    <w:rsid w:val="00F32331"/>
    <w:rsid w:val="00F34282"/>
    <w:rsid w:val="00F41629"/>
    <w:rsid w:val="00F41CC8"/>
    <w:rsid w:val="00F42CF1"/>
    <w:rsid w:val="00F43242"/>
    <w:rsid w:val="00F45C4D"/>
    <w:rsid w:val="00F508E1"/>
    <w:rsid w:val="00F50C1E"/>
    <w:rsid w:val="00F52602"/>
    <w:rsid w:val="00F61FE8"/>
    <w:rsid w:val="00F61FF6"/>
    <w:rsid w:val="00F6424A"/>
    <w:rsid w:val="00F6725B"/>
    <w:rsid w:val="00F67461"/>
    <w:rsid w:val="00F67506"/>
    <w:rsid w:val="00F67F70"/>
    <w:rsid w:val="00F7742A"/>
    <w:rsid w:val="00F80985"/>
    <w:rsid w:val="00F815B9"/>
    <w:rsid w:val="00F8291F"/>
    <w:rsid w:val="00F9124B"/>
    <w:rsid w:val="00F918A1"/>
    <w:rsid w:val="00F92142"/>
    <w:rsid w:val="00F92BC4"/>
    <w:rsid w:val="00FA0AE1"/>
    <w:rsid w:val="00FA2B09"/>
    <w:rsid w:val="00FA3096"/>
    <w:rsid w:val="00FA425F"/>
    <w:rsid w:val="00FA590E"/>
    <w:rsid w:val="00FA5B41"/>
    <w:rsid w:val="00FA69F5"/>
    <w:rsid w:val="00FA75DF"/>
    <w:rsid w:val="00FC5280"/>
    <w:rsid w:val="00FC5914"/>
    <w:rsid w:val="00FC7B84"/>
    <w:rsid w:val="00FC7D17"/>
    <w:rsid w:val="00FD0930"/>
    <w:rsid w:val="00FD1044"/>
    <w:rsid w:val="00FD10F6"/>
    <w:rsid w:val="00FD15E3"/>
    <w:rsid w:val="00FD3ED1"/>
    <w:rsid w:val="00FD70C1"/>
    <w:rsid w:val="00FE126D"/>
    <w:rsid w:val="00FE15AD"/>
    <w:rsid w:val="00FE321A"/>
    <w:rsid w:val="00FE57F1"/>
    <w:rsid w:val="00FE5CAC"/>
    <w:rsid w:val="00FE73E1"/>
    <w:rsid w:val="00FE7DEB"/>
    <w:rsid w:val="00FF00DB"/>
    <w:rsid w:val="00FF1841"/>
    <w:rsid w:val="00FF1943"/>
    <w:rsid w:val="00FF1AC6"/>
    <w:rsid w:val="00FF32B1"/>
    <w:rsid w:val="00FF55AF"/>
    <w:rsid w:val="00FF5F22"/>
    <w:rsid w:val="00FF67D6"/>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oNotEmbedSmartTags/>
  <w:decimalSymbol w:val="."/>
  <w:listSeparator w:val=","/>
  <w14:docId w14:val="175859A9"/>
  <w15:chartTrackingRefBased/>
  <w15:docId w15:val="{1FFAA2E1-B323-4B4D-853B-66929633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F07"/>
    <w:rPr>
      <w:rFonts w:ascii="Arial" w:hAnsi="Arial"/>
      <w:sz w:val="22"/>
      <w:szCs w:val="24"/>
    </w:rPr>
  </w:style>
  <w:style w:type="paragraph" w:styleId="Heading1">
    <w:name w:val="heading 1"/>
    <w:next w:val="BodyText"/>
    <w:link w:val="Heading1Char"/>
    <w:qFormat/>
    <w:rsid w:val="00C05B0E"/>
    <w:pPr>
      <w:keepNext/>
      <w:spacing w:before="480" w:after="240"/>
      <w:outlineLvl w:val="0"/>
    </w:pPr>
    <w:rPr>
      <w:rFonts w:ascii="Arial" w:hAnsi="Arial"/>
      <w:b/>
      <w:color w:val="016171"/>
      <w:sz w:val="36"/>
      <w:szCs w:val="36"/>
    </w:rPr>
  </w:style>
  <w:style w:type="paragraph" w:styleId="Heading2">
    <w:name w:val="heading 2"/>
    <w:next w:val="BodyText"/>
    <w:link w:val="Heading2Char"/>
    <w:qFormat/>
    <w:rsid w:val="00C05B0E"/>
    <w:pPr>
      <w:keepNext/>
      <w:spacing w:before="400" w:after="200"/>
      <w:outlineLvl w:val="1"/>
    </w:pPr>
    <w:rPr>
      <w:rFonts w:ascii="Arial" w:hAnsi="Arial"/>
      <w:b/>
      <w:color w:val="24455B"/>
      <w:sz w:val="32"/>
      <w:szCs w:val="24"/>
    </w:rPr>
  </w:style>
  <w:style w:type="paragraph" w:styleId="Heading3">
    <w:name w:val="heading 3"/>
    <w:next w:val="BodyText"/>
    <w:link w:val="Heading3Char"/>
    <w:qFormat/>
    <w:rsid w:val="00C05B0E"/>
    <w:pPr>
      <w:keepNext/>
      <w:spacing w:before="280" w:after="140"/>
      <w:outlineLvl w:val="2"/>
    </w:pPr>
    <w:rPr>
      <w:rFonts w:ascii="Arial" w:hAnsi="Arial"/>
      <w:b/>
      <w:color w:val="24455B"/>
      <w:sz w:val="28"/>
      <w:szCs w:val="24"/>
    </w:rPr>
  </w:style>
  <w:style w:type="paragraph" w:styleId="Heading4">
    <w:name w:val="heading 4"/>
    <w:next w:val="BodyText"/>
    <w:link w:val="Heading4Char"/>
    <w:qFormat/>
    <w:rsid w:val="00C05B0E"/>
    <w:pPr>
      <w:keepNext/>
      <w:spacing w:before="240" w:after="120"/>
      <w:outlineLvl w:val="3"/>
    </w:pPr>
    <w:rPr>
      <w:rFonts w:ascii="Arial" w:hAnsi="Arial"/>
      <w:b/>
      <w:color w:val="24455B"/>
      <w:sz w:val="24"/>
      <w:szCs w:val="24"/>
    </w:rPr>
  </w:style>
  <w:style w:type="paragraph" w:styleId="Heading5">
    <w:name w:val="heading 5"/>
    <w:next w:val="BodyText"/>
    <w:qFormat/>
    <w:rsid w:val="006E0DAA"/>
    <w:pPr>
      <w:keepNext/>
      <w:keepLines/>
      <w:spacing w:before="240" w:after="120"/>
      <w:outlineLvl w:val="4"/>
    </w:pPr>
    <w:rPr>
      <w:rFonts w:ascii="Arial" w:hAnsi="Arial"/>
      <w:b/>
      <w:color w:val="4A4A4A"/>
      <w:sz w:val="22"/>
      <w:szCs w:val="24"/>
    </w:rPr>
  </w:style>
  <w:style w:type="paragraph" w:styleId="Heading6">
    <w:name w:val="heading 6"/>
    <w:next w:val="BodyText"/>
    <w:qFormat/>
    <w:rsid w:val="006E0DAA"/>
    <w:pPr>
      <w:keepNext/>
      <w:spacing w:before="240" w:after="120"/>
      <w:outlineLvl w:val="5"/>
    </w:pPr>
    <w:rPr>
      <w:rFonts w:ascii="Arial" w:hAnsi="Arial"/>
      <w:bCs/>
      <w:i/>
      <w:color w:val="4A4A4A"/>
      <w:sz w:val="22"/>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link w:val="HeaderChar"/>
    <w:semiHidden/>
    <w:rsid w:val="007E7F07"/>
    <w:pPr>
      <w:tabs>
        <w:tab w:val="center" w:pos="4320"/>
        <w:tab w:val="right" w:pos="8640"/>
      </w:tabs>
    </w:pPr>
  </w:style>
  <w:style w:type="paragraph" w:styleId="ListBullet">
    <w:name w:val="List Bullet"/>
    <w:qFormat/>
    <w:rsid w:val="000277C5"/>
    <w:pPr>
      <w:numPr>
        <w:numId w:val="21"/>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22"/>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A5678"/>
    <w:rPr>
      <w:color w:val="016171"/>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semiHidden/>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semiHidden/>
    <w:qFormat/>
    <w:rsid w:val="00A75E1A"/>
    <w:pPr>
      <w:pageBreakBefore/>
    </w:pPr>
    <w:rPr>
      <w:noProof/>
    </w:rPr>
  </w:style>
  <w:style w:type="character" w:customStyle="1" w:styleId="HeaderChar">
    <w:name w:val="Header Char"/>
    <w:link w:val="Header"/>
    <w:locked/>
    <w:rsid w:val="00547077"/>
    <w:rPr>
      <w:rFonts w:ascii="Arial" w:hAnsi="Arial"/>
      <w:sz w:val="22"/>
      <w:szCs w:val="24"/>
      <w:lang w:val="en-AU" w:eastAsia="en-AU" w:bidi="ar-SA"/>
    </w:rPr>
  </w:style>
  <w:style w:type="paragraph" w:customStyle="1" w:styleId="BlockQuotation">
    <w:name w:val="Block Quotation"/>
    <w:basedOn w:val="BodyText"/>
    <w:semiHidden/>
    <w:qFormat/>
    <w:rsid w:val="00C141FE"/>
    <w:pPr>
      <w:ind w:left="567" w:right="567"/>
      <w:jc w:val="both"/>
    </w:pPr>
    <w:rPr>
      <w:noProof/>
      <w:sz w:val="20"/>
      <w:lang w:eastAsia="en-US"/>
    </w:rPr>
  </w:style>
  <w:style w:type="paragraph" w:styleId="ListNumber">
    <w:name w:val="List Number"/>
    <w:aliases w:val="Numbered level 1"/>
    <w:basedOn w:val="Normal"/>
    <w:rsid w:val="00C05B0E"/>
    <w:pPr>
      <w:numPr>
        <w:ilvl w:val="5"/>
        <w:numId w:val="31"/>
      </w:numPr>
      <w:spacing w:before="60" w:after="60" w:line="276" w:lineRule="auto"/>
    </w:pPr>
    <w:rPr>
      <w:color w:val="000000"/>
    </w:rPr>
  </w:style>
  <w:style w:type="paragraph" w:styleId="Footer">
    <w:name w:val="footer"/>
    <w:semiHidden/>
    <w:rsid w:val="00DE0462"/>
    <w:pPr>
      <w:tabs>
        <w:tab w:val="right" w:pos="9355"/>
      </w:tabs>
    </w:pPr>
    <w:rPr>
      <w:rFonts w:ascii="Arial" w:hAnsi="Arial"/>
      <w:sz w:val="23"/>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9B69C8"/>
    <w:rPr>
      <w:rFonts w:ascii="Arial" w:hAnsi="Arial"/>
    </w:rPr>
    <w:tblPr>
      <w:tblInd w:w="108" w:type="dxa"/>
      <w:tblBorders>
        <w:bottom w:val="single" w:sz="4" w:space="0" w:color="24455B"/>
        <w:insideH w:val="single" w:sz="4" w:space="0" w:color="24455B"/>
      </w:tblBorders>
    </w:tblPr>
    <w:trPr>
      <w:cantSplit/>
    </w:trPr>
    <w:tblStylePr w:type="firstRow">
      <w:rPr>
        <w:b w:val="0"/>
        <w:color w:val="FFFFFF"/>
      </w:rPr>
      <w:tblPr/>
      <w:tcPr>
        <w:shd w:val="clear" w:color="auto" w:fill="24455B"/>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539DA"/>
    <w:pPr>
      <w:spacing w:after="60"/>
    </w:pPr>
    <w:rPr>
      <w:b/>
      <w:color w:val="24455B"/>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qFormat/>
    <w:rsid w:val="007E7F07"/>
    <w:pPr>
      <w:numPr>
        <w:numId w:val="14"/>
      </w:numPr>
      <w:spacing w:before="60" w:after="60"/>
    </w:p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rsid w:val="007539DA"/>
    <w:rPr>
      <w:rFonts w:ascii="Arial" w:hAnsi="Arial"/>
      <w:b/>
      <w:color w:val="24455B"/>
      <w:sz w:val="48"/>
      <w:szCs w:val="48"/>
      <w:lang w:val="en-AU" w:eastAsia="en-US" w:bidi="ar-SA"/>
    </w:rPr>
  </w:style>
  <w:style w:type="paragraph" w:customStyle="1" w:styleId="TableListNumber">
    <w:name w:val="Table List Number"/>
    <w:basedOn w:val="TableTextLeft"/>
    <w:rsid w:val="000277C5"/>
    <w:pPr>
      <w:numPr>
        <w:numId w:val="24"/>
      </w:numPr>
    </w:pPr>
  </w:style>
  <w:style w:type="paragraph" w:customStyle="1" w:styleId="TableListLetter">
    <w:name w:val="Table List Letter"/>
    <w:basedOn w:val="TableTextLeft"/>
    <w:rsid w:val="000277C5"/>
    <w:pPr>
      <w:numPr>
        <w:numId w:val="23"/>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C166A9"/>
    <w:pPr>
      <w:spacing w:after="240"/>
      <w:outlineLvl w:val="1"/>
    </w:pPr>
    <w:rPr>
      <w:rFonts w:ascii="Arial" w:hAnsi="Arial" w:cs="Arial"/>
      <w:color w:val="016171"/>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rsid w:val="007A5678"/>
    <w:rPr>
      <w:color w:val="016171"/>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qFormat/>
    <w:rsid w:val="007E7F07"/>
    <w:rPr>
      <w:b/>
      <w:bCs/>
    </w:rPr>
  </w:style>
  <w:style w:type="table" w:styleId="Table3Deffects1">
    <w:name w:val="Table 3D effects 1"/>
    <w:basedOn w:val="TableNormal"/>
    <w:semiHidden/>
    <w:rsid w:val="007E7F07"/>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C05B0E"/>
    <w:pPr>
      <w:numPr>
        <w:numId w:val="31"/>
      </w:numPr>
    </w:pPr>
    <w:rPr>
      <w:szCs w:val="24"/>
    </w:rPr>
  </w:style>
  <w:style w:type="paragraph" w:customStyle="1" w:styleId="FooterpageNumber">
    <w:name w:val="Footer page Number"/>
    <w:basedOn w:val="Footer"/>
    <w:semiHidden/>
    <w:rsid w:val="007E7F07"/>
    <w:pPr>
      <w:tabs>
        <w:tab w:val="clear" w:pos="9355"/>
      </w:tabs>
      <w:jc w:val="right"/>
    </w:pPr>
  </w:style>
  <w:style w:type="paragraph" w:customStyle="1" w:styleId="NoHeading2">
    <w:name w:val="No. Heading 2"/>
    <w:basedOn w:val="Heading2"/>
    <w:next w:val="BodyText"/>
    <w:rsid w:val="00C05B0E"/>
    <w:pPr>
      <w:numPr>
        <w:ilvl w:val="1"/>
        <w:numId w:val="31"/>
      </w:numPr>
    </w:pPr>
  </w:style>
  <w:style w:type="paragraph" w:customStyle="1" w:styleId="TableRef">
    <w:name w:val="Table Ref"/>
    <w:basedOn w:val="Normal"/>
    <w:next w:val="BodyText"/>
    <w:rsid w:val="00C05B0E"/>
    <w:pPr>
      <w:numPr>
        <w:ilvl w:val="4"/>
        <w:numId w:val="31"/>
      </w:numPr>
      <w:spacing w:before="120" w:after="120"/>
    </w:pPr>
    <w:rPr>
      <w:b/>
      <w:sz w:val="20"/>
      <w:szCs w:val="18"/>
    </w:rPr>
  </w:style>
  <w:style w:type="paragraph" w:customStyle="1" w:styleId="FigureRef">
    <w:name w:val="Figure Ref"/>
    <w:basedOn w:val="TableRef"/>
    <w:next w:val="BodyText"/>
    <w:rsid w:val="00C05B0E"/>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Paragraph">
    <w:name w:val="Intro Paragraph"/>
    <w:basedOn w:val="Normal"/>
    <w:next w:val="BodyText"/>
    <w:rsid w:val="006B4295"/>
    <w:pPr>
      <w:spacing w:before="360" w:after="240"/>
    </w:pPr>
    <w:rPr>
      <w:rFonts w:cs="Arial"/>
      <w:color w:val="24455B"/>
      <w:sz w:val="32"/>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semiHidden/>
    <w:rsid w:val="007E7F07"/>
    <w:pPr>
      <w:pageBreakBefore w:val="0"/>
    </w:pPr>
  </w:style>
  <w:style w:type="table" w:customStyle="1" w:styleId="TealHorizontalTable">
    <w:name w:val="Teal Horizontal Table"/>
    <w:basedOn w:val="TableNormal"/>
    <w:rsid w:val="007A5678"/>
    <w:rPr>
      <w:rFonts w:ascii="Arial" w:hAnsi="Arial"/>
    </w:rPr>
    <w:tblPr>
      <w:tblInd w:w="108" w:type="dxa"/>
      <w:tblBorders>
        <w:top w:val="single" w:sz="4" w:space="0" w:color="016171"/>
        <w:bottom w:val="single" w:sz="4" w:space="0" w:color="016171"/>
        <w:insideH w:val="single" w:sz="4" w:space="0" w:color="016171"/>
      </w:tblBorders>
    </w:tblPr>
    <w:trPr>
      <w:cantSplit/>
    </w:trPr>
    <w:tblStylePr w:type="firstRow">
      <w:rPr>
        <w:rFonts w:ascii="Arial" w:hAnsi="Arial"/>
        <w:color w:val="FFFFFF"/>
        <w:sz w:val="20"/>
      </w:rPr>
      <w:tblPr/>
      <w:tcPr>
        <w:shd w:val="clear" w:color="auto" w:fill="01617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932BB3"/>
    <w:rPr>
      <w:rFonts w:ascii="Arial" w:hAnsi="Arial"/>
    </w:rPr>
    <w:tblPr>
      <w:tblInd w:w="108" w:type="dxa"/>
      <w:tblBorders>
        <w:top w:val="single" w:sz="4" w:space="0" w:color="24455B"/>
        <w:left w:val="single" w:sz="4" w:space="0" w:color="24455B"/>
        <w:bottom w:val="single" w:sz="4" w:space="0" w:color="24455B"/>
        <w:right w:val="single" w:sz="4" w:space="0" w:color="24455B"/>
        <w:insideH w:val="single" w:sz="4" w:space="0" w:color="24455B"/>
        <w:insideV w:val="single" w:sz="4" w:space="0" w:color="24455B"/>
      </w:tblBorders>
    </w:tblPr>
    <w:tblStylePr w:type="firstRow">
      <w:rPr>
        <w:color w:val="FFFFFF"/>
      </w:rPr>
      <w:tblPr/>
      <w:tcPr>
        <w:tcBorders>
          <w:top w:val="single" w:sz="4" w:space="0" w:color="24455B"/>
          <w:left w:val="single" w:sz="4" w:space="0" w:color="24455B"/>
          <w:bottom w:val="single" w:sz="4" w:space="0" w:color="24455B"/>
          <w:right w:val="single" w:sz="4" w:space="0" w:color="24455B"/>
          <w:insideH w:val="single" w:sz="4" w:space="0" w:color="24455B"/>
          <w:insideV w:val="single" w:sz="4" w:space="0" w:color="FFFFFF"/>
        </w:tcBorders>
        <w:shd w:val="clear" w:color="auto" w:fill="24455B"/>
      </w:tcPr>
    </w:tblStylePr>
  </w:style>
  <w:style w:type="table" w:customStyle="1" w:styleId="NavyAlternatingTable">
    <w:name w:val="Navy Alternating Table"/>
    <w:basedOn w:val="TableNormal"/>
    <w:rsid w:val="00932BB3"/>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24455B"/>
      </w:tcPr>
    </w:tblStylePr>
    <w:tblStylePr w:type="band1Horz">
      <w:rPr>
        <w:rFonts w:ascii="Arial" w:hAnsi="Arial"/>
      </w:rPr>
    </w:tblStylePr>
    <w:tblStylePr w:type="band2Horz">
      <w:tblPr/>
      <w:tcPr>
        <w:shd w:val="clear" w:color="auto" w:fill="CBDEEB"/>
      </w:tcPr>
    </w:tblStylePr>
  </w:style>
  <w:style w:type="paragraph" w:customStyle="1" w:styleId="NoHeading3">
    <w:name w:val="No. Heading 3"/>
    <w:basedOn w:val="Heading3"/>
    <w:next w:val="BodyText"/>
    <w:rsid w:val="00C05B0E"/>
    <w:pPr>
      <w:numPr>
        <w:ilvl w:val="2"/>
        <w:numId w:val="31"/>
      </w:numPr>
    </w:pPr>
  </w:style>
  <w:style w:type="table" w:customStyle="1" w:styleId="TealAlternatingTable">
    <w:name w:val="Teal Alternating Table"/>
    <w:basedOn w:val="TableNormal"/>
    <w:rsid w:val="007A5678"/>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16171"/>
      </w:tcPr>
    </w:tblStylePr>
    <w:tblStylePr w:type="band2Horz">
      <w:rPr>
        <w:rFonts w:ascii="Arial" w:hAnsi="Arial"/>
      </w:rPr>
      <w:tblPr/>
      <w:tcPr>
        <w:shd w:val="clear" w:color="auto" w:fill="DDFFFD"/>
      </w:tcPr>
    </w:tblStylePr>
  </w:style>
  <w:style w:type="character" w:customStyle="1" w:styleId="Heading1Char">
    <w:name w:val="Heading 1 Char"/>
    <w:link w:val="Heading1"/>
    <w:locked/>
    <w:rsid w:val="00C05B0E"/>
    <w:rPr>
      <w:rFonts w:ascii="Arial" w:hAnsi="Arial"/>
      <w:b/>
      <w:color w:val="016171"/>
      <w:sz w:val="36"/>
      <w:szCs w:val="36"/>
      <w:lang w:val="en-AU" w:eastAsia="en-AU" w:bidi="ar-SA"/>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7A5678"/>
    <w:rPr>
      <w:rFonts w:ascii="Arial" w:hAnsi="Arial"/>
    </w:rPr>
    <w:tblPr>
      <w:tblInd w:w="108" w:type="dxa"/>
      <w:tblBorders>
        <w:top w:val="single" w:sz="4" w:space="0" w:color="016171"/>
        <w:left w:val="single" w:sz="4" w:space="0" w:color="016171"/>
        <w:bottom w:val="single" w:sz="4" w:space="0" w:color="016171"/>
        <w:right w:val="single" w:sz="4" w:space="0" w:color="016171"/>
        <w:insideH w:val="single" w:sz="4" w:space="0" w:color="016171"/>
        <w:insideV w:val="single" w:sz="4" w:space="0" w:color="016171"/>
      </w:tblBorders>
    </w:tblPr>
    <w:tblStylePr w:type="firstRow">
      <w:rPr>
        <w:color w:val="FFFFFF"/>
      </w:rPr>
      <w:tblPr/>
      <w:tcPr>
        <w:tcBorders>
          <w:insideV w:val="single" w:sz="4" w:space="0" w:color="FFFFFF"/>
        </w:tcBorders>
        <w:shd w:val="clear" w:color="auto" w:fill="016171"/>
      </w:tcPr>
    </w:tblStylePr>
  </w:style>
  <w:style w:type="character" w:customStyle="1" w:styleId="Heading2Char">
    <w:name w:val="Heading 2 Char"/>
    <w:link w:val="Heading2"/>
    <w:locked/>
    <w:rsid w:val="00C05B0E"/>
    <w:rPr>
      <w:rFonts w:ascii="Arial" w:hAnsi="Arial"/>
      <w:b/>
      <w:color w:val="24455B"/>
      <w:sz w:val="32"/>
      <w:szCs w:val="24"/>
      <w:lang w:val="en-AU" w:eastAsia="en-AU" w:bidi="ar-SA"/>
    </w:rPr>
  </w:style>
  <w:style w:type="character" w:customStyle="1" w:styleId="Heading3Char">
    <w:name w:val="Heading 3 Char"/>
    <w:link w:val="Heading3"/>
    <w:locked/>
    <w:rsid w:val="00C05B0E"/>
    <w:rPr>
      <w:rFonts w:ascii="Arial" w:hAnsi="Arial"/>
      <w:b/>
      <w:color w:val="24455B"/>
      <w:sz w:val="28"/>
      <w:szCs w:val="24"/>
      <w:lang w:val="en-AU" w:eastAsia="en-AU" w:bidi="ar-SA"/>
    </w:rPr>
  </w:style>
  <w:style w:type="character" w:customStyle="1" w:styleId="Heading4Char">
    <w:name w:val="Heading 4 Char"/>
    <w:link w:val="Heading4"/>
    <w:locked/>
    <w:rsid w:val="00C05B0E"/>
    <w:rPr>
      <w:rFonts w:ascii="Arial" w:hAnsi="Arial"/>
      <w:b/>
      <w:color w:val="24455B"/>
      <w:sz w:val="24"/>
      <w:szCs w:val="24"/>
      <w:lang w:val="en-AU" w:eastAsia="en-AU" w:bidi="ar-SA"/>
    </w:rPr>
  </w:style>
  <w:style w:type="character" w:customStyle="1" w:styleId="BodyTextChar">
    <w:name w:val="Body Text Char"/>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156335159">
      <w:bodyDiv w:val="1"/>
      <w:marLeft w:val="0"/>
      <w:marRight w:val="0"/>
      <w:marTop w:val="0"/>
      <w:marBottom w:val="0"/>
      <w:divBdr>
        <w:top w:val="none" w:sz="0" w:space="0" w:color="auto"/>
        <w:left w:val="none" w:sz="0" w:space="0" w:color="auto"/>
        <w:bottom w:val="none" w:sz="0" w:space="0" w:color="auto"/>
        <w:right w:val="none" w:sz="0" w:space="0" w:color="auto"/>
      </w:divBdr>
    </w:div>
    <w:div w:id="1333799807">
      <w:bodyDiv w:val="1"/>
      <w:marLeft w:val="0"/>
      <w:marRight w:val="0"/>
      <w:marTop w:val="0"/>
      <w:marBottom w:val="0"/>
      <w:divBdr>
        <w:top w:val="none" w:sz="0" w:space="0" w:color="auto"/>
        <w:left w:val="none" w:sz="0" w:space="0" w:color="auto"/>
        <w:bottom w:val="none" w:sz="0" w:space="0" w:color="auto"/>
        <w:right w:val="none" w:sz="0" w:space="0" w:color="auto"/>
      </w:divBdr>
    </w:div>
    <w:div w:id="1715613894">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hyperlink" Target="https://www.nhmrc.gov.au/sites/default/files/documents/attachments/guide-managing-investigating-potential-breach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mrc.gov.au/sites/default/files/documents/attachments/guide-managing-investigating-potential-breach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sites/default/files/documents/attachments/guide-managing-investigating-potential-breach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mrc.gov.au/about-us/publications/australian-code-care-and-use-animals-scientific-purposes/australian-code-care-and-use-animals-scientific-purposes-co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da\AppData\Local\Temp\MicrosoftEdgeDownloads\bf03f75c-6f41-4d7d-ad3e-fec404490f6f\a4-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a4-portrait.dot</Template>
  <TotalTime>1</TotalTime>
  <Pages>10</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Research complaints procedure</vt:lpstr>
    </vt:vector>
  </TitlesOfParts>
  <Company>Department of Health</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complaints procedure</dc:title>
  <dc:subject>Procedure for handling potential breaches of the Australian Code for the Responsible Conduct of Research</dc:subject>
  <dc:creator>Forensic and Scientific Services</dc:creator>
  <cp:keywords>FSS templates; portrait</cp:keywords>
  <dc:description>FSS A4 portrait</dc:description>
  <cp:lastModifiedBy>Danielle Cunningham</cp:lastModifiedBy>
  <cp:revision>2</cp:revision>
  <cp:lastPrinted>2011-11-14T03:43:00Z</cp:lastPrinted>
  <dcterms:created xsi:type="dcterms:W3CDTF">2021-10-31T22:49:00Z</dcterms:created>
  <dcterms:modified xsi:type="dcterms:W3CDTF">2021-10-31T22:49:00Z</dcterms:modified>
</cp:coreProperties>
</file>