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78169929"/>
        <w:docPartObj>
          <w:docPartGallery w:val="Cover Pages"/>
          <w:docPartUnique/>
        </w:docPartObj>
      </w:sdtPr>
      <w:sdtEndPr>
        <w:rPr>
          <w:noProof/>
          <w:sz w:val="2"/>
          <w:szCs w:val="2"/>
        </w:rPr>
      </w:sdtEndPr>
      <w:sdtContent>
        <w:p w14:paraId="2486CB52" w14:textId="77777777" w:rsidR="00D11582" w:rsidRPr="002134C7" w:rsidRDefault="00D11582" w:rsidP="00682133">
          <w:r>
            <w:rPr>
              <w:noProof/>
            </w:rPr>
            <w:drawing>
              <wp:anchor distT="0" distB="0" distL="114300" distR="114300" simplePos="0" relativeHeight="251718656" behindDoc="1" locked="0" layoutInCell="1" allowOverlap="1" wp14:anchorId="6FADCE30" wp14:editId="79CC0D8E">
                <wp:simplePos x="0" y="0"/>
                <wp:positionH relativeFrom="column">
                  <wp:posOffset>-970915</wp:posOffset>
                </wp:positionH>
                <wp:positionV relativeFrom="paragraph">
                  <wp:posOffset>-945515</wp:posOffset>
                </wp:positionV>
                <wp:extent cx="7588800" cy="10728000"/>
                <wp:effectExtent l="0" t="0" r="6350" b="381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0"/>
                        <a:stretch>
                          <a:fillRect/>
                        </a:stretch>
                      </pic:blipFill>
                      <pic:spPr>
                        <a:xfrm>
                          <a:off x="0" y="0"/>
                          <a:ext cx="7588800" cy="10728000"/>
                        </a:xfrm>
                        <a:prstGeom prst="rect">
                          <a:avLst/>
                        </a:prstGeom>
                      </pic:spPr>
                    </pic:pic>
                  </a:graphicData>
                </a:graphic>
                <wp14:sizeRelH relativeFrom="margin">
                  <wp14:pctWidth>0</wp14:pctWidth>
                </wp14:sizeRelH>
                <wp14:sizeRelV relativeFrom="margin">
                  <wp14:pctHeight>0</wp14:pctHeight>
                </wp14:sizeRelV>
              </wp:anchor>
            </w:drawing>
          </w:r>
        </w:p>
        <w:p w14:paraId="6232D07E" w14:textId="77777777" w:rsidR="00D11582" w:rsidRDefault="00D11582" w:rsidP="00682133">
          <w:pPr>
            <w:spacing w:line="264" w:lineRule="auto"/>
            <w:rPr>
              <w:noProof/>
              <w:sz w:val="2"/>
              <w:szCs w:val="2"/>
            </w:rPr>
          </w:pPr>
          <w:r w:rsidRPr="003E6DCC">
            <w:rPr>
              <w:noProof/>
              <w:color w:val="0F5CA2" w:themeColor="accent1"/>
              <w:sz w:val="36"/>
              <w:szCs w:val="36"/>
            </w:rPr>
            <mc:AlternateContent>
              <mc:Choice Requires="wps">
                <w:drawing>
                  <wp:anchor distT="45720" distB="45720" distL="114300" distR="114300" simplePos="0" relativeHeight="251717632" behindDoc="0" locked="0" layoutInCell="1" allowOverlap="1" wp14:anchorId="2431062F" wp14:editId="62AFB3E0">
                    <wp:simplePos x="0" y="0"/>
                    <wp:positionH relativeFrom="column">
                      <wp:posOffset>170815</wp:posOffset>
                    </wp:positionH>
                    <wp:positionV relativeFrom="page">
                      <wp:posOffset>3406140</wp:posOffset>
                    </wp:positionV>
                    <wp:extent cx="5715000" cy="21793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79320"/>
                            </a:xfrm>
                            <a:prstGeom prst="rect">
                              <a:avLst/>
                            </a:prstGeom>
                            <a:noFill/>
                            <a:ln w="9525">
                              <a:noFill/>
                              <a:miter lim="800000"/>
                              <a:headEnd/>
                              <a:tailEnd/>
                            </a:ln>
                          </wps:spPr>
                          <wps:txbx>
                            <w:txbxContent>
                              <w:sdt>
                                <w:sdtPr>
                                  <w:rPr>
                                    <w:rFonts w:ascii="Fira Sans Black" w:hAnsi="Fira Sans Black"/>
                                    <w:bCs/>
                                    <w:color w:val="FFFFFF" w:themeColor="background1"/>
                                    <w:sz w:val="78"/>
                                    <w:szCs w:val="78"/>
                                  </w:rPr>
                                  <w:alias w:val="Title"/>
                                  <w:tag w:val=""/>
                                  <w:id w:val="180709946"/>
                                  <w:dataBinding w:prefixMappings="xmlns:ns0='http://purl.org/dc/elements/1.1/' xmlns:ns1='http://schemas.openxmlformats.org/package/2006/metadata/core-properties' " w:xpath="/ns1:coreProperties[1]/ns0:title[1]" w:storeItemID="{6C3C8BC8-F283-45AE-878A-BAB7291924A1}"/>
                                  <w:text/>
                                </w:sdtPr>
                                <w:sdtEndPr/>
                                <w:sdtContent>
                                  <w:p w14:paraId="029A9F87" w14:textId="77CD0EBE" w:rsidR="00D11582" w:rsidRPr="00194958" w:rsidRDefault="00D00368" w:rsidP="00682133">
                                    <w:pPr>
                                      <w:pStyle w:val="Title"/>
                                      <w:rPr>
                                        <w:rFonts w:ascii="Fira Sans Black" w:hAnsi="Fira Sans Black"/>
                                        <w:bCs/>
                                        <w:color w:val="FFFFFF" w:themeColor="background1"/>
                                        <w:sz w:val="78"/>
                                        <w:szCs w:val="78"/>
                                      </w:rPr>
                                    </w:pPr>
                                    <w:r>
                                      <w:rPr>
                                        <w:rFonts w:ascii="Fira Sans Black" w:hAnsi="Fira Sans Black"/>
                                        <w:bCs/>
                                        <w:color w:val="FFFFFF" w:themeColor="background1"/>
                                        <w:sz w:val="78"/>
                                        <w:szCs w:val="78"/>
                                      </w:rPr>
                                      <w:t xml:space="preserve">Funding </w:t>
                                    </w:r>
                                    <w:r w:rsidR="004A50E0">
                                      <w:rPr>
                                        <w:rFonts w:ascii="Fira Sans Black" w:hAnsi="Fira Sans Black"/>
                                        <w:bCs/>
                                        <w:color w:val="FFFFFF" w:themeColor="background1"/>
                                        <w:sz w:val="78"/>
                                        <w:szCs w:val="78"/>
                                      </w:rPr>
                                      <w:t>opportunity</w:t>
                                    </w:r>
                                    <w:r>
                                      <w:rPr>
                                        <w:rFonts w:ascii="Fira Sans Black" w:hAnsi="Fira Sans Black"/>
                                        <w:bCs/>
                                        <w:color w:val="FFFFFF" w:themeColor="background1"/>
                                        <w:sz w:val="78"/>
                                        <w:szCs w:val="78"/>
                                      </w:rPr>
                                      <w:t xml:space="preserve"> process guidelines</w:t>
                                    </w:r>
                                  </w:p>
                                </w:sdtContent>
                              </w:sdt>
                              <w:p w14:paraId="00E6B80B" w14:textId="6A43A83F" w:rsidR="00D11582" w:rsidRPr="0091679C" w:rsidRDefault="0032445F" w:rsidP="00682133">
                                <w:pPr>
                                  <w:rPr>
                                    <w:i/>
                                    <w:iCs/>
                                    <w:color w:val="85C446" w:themeColor="accent2"/>
                                    <w:sz w:val="42"/>
                                    <w:szCs w:val="42"/>
                                  </w:rPr>
                                </w:pPr>
                                <w:sdt>
                                  <w:sdtPr>
                                    <w:rPr>
                                      <w:rStyle w:val="SubtitleChar"/>
                                      <w:i/>
                                      <w:iCs/>
                                      <w:color w:val="85C446" w:themeColor="accent2"/>
                                      <w:sz w:val="42"/>
                                      <w:szCs w:val="42"/>
                                    </w:rPr>
                                    <w:alias w:val="Subject"/>
                                    <w:tag w:val=""/>
                                    <w:id w:val="-1654676487"/>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D00368" w:rsidRPr="0091679C">
                                      <w:rPr>
                                        <w:rStyle w:val="SubtitleChar"/>
                                        <w:i/>
                                        <w:iCs/>
                                        <w:color w:val="85C446" w:themeColor="accent2"/>
                                        <w:sz w:val="42"/>
                                        <w:szCs w:val="42"/>
                                      </w:rPr>
                                      <w:t>Medical Practitioner Workforce Plan for Queensland</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1062F" id="_x0000_t202" coordsize="21600,21600" o:spt="202" path="m,l,21600r21600,l21600,xe">
                    <v:stroke joinstyle="miter"/>
                    <v:path gradientshapeok="t" o:connecttype="rect"/>
                  </v:shapetype>
                  <v:shape id="Text Box 2" o:spid="_x0000_s1026" type="#_x0000_t202" style="position:absolute;margin-left:13.45pt;margin-top:268.2pt;width:450pt;height:171.6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" filled="f" stroked="f">
                    <v:textbox>
                      <w:txbxContent>
                        <w:sdt>
                          <w:sdtPr>
                            <w:rPr>
                              <w:rFonts w:ascii="Fira Sans Black" w:hAnsi="Fira Sans Black"/>
                              <w:bCs/>
                              <w:color w:val="FFFFFF" w:themeColor="background1"/>
                              <w:sz w:val="78"/>
                              <w:szCs w:val="78"/>
                            </w:rPr>
                            <w:alias w:val="Title"/>
                            <w:tag w:val=""/>
                            <w:id w:val="180709946"/>
                            <w:dataBinding w:prefixMappings="xmlns:ns0='http://purl.org/dc/elements/1.1/' xmlns:ns1='http://schemas.openxmlformats.org/package/2006/metadata/core-properties' " w:xpath="/ns1:coreProperties[1]/ns0:title[1]" w:storeItemID="{6C3C8BC8-F283-45AE-878A-BAB7291924A1}"/>
                            <w:text/>
                          </w:sdtPr>
                          <w:sdtEndPr/>
                          <w:sdtContent>
                            <w:p w14:paraId="029A9F87" w14:textId="77CD0EBE" w:rsidR="00D11582" w:rsidRPr="00194958" w:rsidRDefault="00D00368" w:rsidP="00682133">
                              <w:pPr>
                                <w:pStyle w:val="Title"/>
                                <w:rPr>
                                  <w:rFonts w:ascii="Fira Sans Black" w:hAnsi="Fira Sans Black"/>
                                  <w:bCs/>
                                  <w:color w:val="FFFFFF" w:themeColor="background1"/>
                                  <w:sz w:val="78"/>
                                  <w:szCs w:val="78"/>
                                </w:rPr>
                              </w:pPr>
                              <w:r>
                                <w:rPr>
                                  <w:rFonts w:ascii="Fira Sans Black" w:hAnsi="Fira Sans Black"/>
                                  <w:bCs/>
                                  <w:color w:val="FFFFFF" w:themeColor="background1"/>
                                  <w:sz w:val="78"/>
                                  <w:szCs w:val="78"/>
                                </w:rPr>
                                <w:t xml:space="preserve">Funding </w:t>
                              </w:r>
                              <w:r w:rsidR="004A50E0">
                                <w:rPr>
                                  <w:rFonts w:ascii="Fira Sans Black" w:hAnsi="Fira Sans Black"/>
                                  <w:bCs/>
                                  <w:color w:val="FFFFFF" w:themeColor="background1"/>
                                  <w:sz w:val="78"/>
                                  <w:szCs w:val="78"/>
                                </w:rPr>
                                <w:t>opportunity</w:t>
                              </w:r>
                              <w:r>
                                <w:rPr>
                                  <w:rFonts w:ascii="Fira Sans Black" w:hAnsi="Fira Sans Black"/>
                                  <w:bCs/>
                                  <w:color w:val="FFFFFF" w:themeColor="background1"/>
                                  <w:sz w:val="78"/>
                                  <w:szCs w:val="78"/>
                                </w:rPr>
                                <w:t xml:space="preserve"> process guidelines</w:t>
                              </w:r>
                            </w:p>
                          </w:sdtContent>
                        </w:sdt>
                        <w:p w14:paraId="00E6B80B" w14:textId="6A43A83F" w:rsidR="00D11582" w:rsidRPr="0091679C" w:rsidRDefault="00A926A6" w:rsidP="00682133">
                          <w:pPr>
                            <w:rPr>
                              <w:i/>
                              <w:iCs/>
                              <w:color w:val="85C446" w:themeColor="accent2"/>
                              <w:sz w:val="42"/>
                              <w:szCs w:val="42"/>
                            </w:rPr>
                          </w:pPr>
                          <w:sdt>
                            <w:sdtPr>
                              <w:rPr>
                                <w:rStyle w:val="SubtitleChar"/>
                                <w:i/>
                                <w:iCs/>
                                <w:color w:val="85C446" w:themeColor="accent2"/>
                                <w:sz w:val="42"/>
                                <w:szCs w:val="42"/>
                              </w:rPr>
                              <w:alias w:val="Subject"/>
                              <w:tag w:val=""/>
                              <w:id w:val="-1654676487"/>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D00368" w:rsidRPr="0091679C">
                                <w:rPr>
                                  <w:rStyle w:val="SubtitleChar"/>
                                  <w:i/>
                                  <w:iCs/>
                                  <w:color w:val="85C446" w:themeColor="accent2"/>
                                  <w:sz w:val="42"/>
                                  <w:szCs w:val="42"/>
                                </w:rPr>
                                <w:t>Medical Practitioner Workforce Plan for Queensland</w:t>
                              </w:r>
                            </w:sdtContent>
                          </w:sdt>
                        </w:p>
                      </w:txbxContent>
                    </v:textbox>
                    <w10:wrap type="square" anchory="page"/>
                  </v:shape>
                </w:pict>
              </mc:Fallback>
            </mc:AlternateContent>
          </w:r>
          <w:r>
            <w:rPr>
              <w:noProof/>
              <w:sz w:val="2"/>
              <w:szCs w:val="2"/>
            </w:rPr>
            <w:br w:type="page"/>
          </w:r>
        </w:p>
      </w:sdtContent>
    </w:sdt>
    <w:p w14:paraId="52756B75" w14:textId="4F1FA452" w:rsidR="00757ADC" w:rsidRPr="00AF5538" w:rsidRDefault="004A50E0" w:rsidP="009B2025">
      <w:pPr>
        <w:pStyle w:val="Heading1"/>
      </w:pPr>
      <w:r>
        <w:lastRenderedPageBreak/>
        <w:t>Funding opportunity process guidelines</w:t>
      </w:r>
    </w:p>
    <w:p w14:paraId="4E903DF7" w14:textId="129206AC" w:rsidR="00C14F3B" w:rsidRDefault="004A50E0" w:rsidP="00C14F3B">
      <w:pPr>
        <w:pStyle w:val="IntroParagraph"/>
      </w:pPr>
      <w:r>
        <w:t xml:space="preserve">The following guidelines are intended to provide an overview of the funding opportunity process to support the implementation of </w:t>
      </w:r>
      <w:r w:rsidR="00F54F8B">
        <w:t>round three</w:t>
      </w:r>
      <w:r>
        <w:t xml:space="preserve"> of the </w:t>
      </w:r>
      <w:hyperlink r:id="rId11" w:history="1">
        <w:r w:rsidRPr="00D7007A">
          <w:rPr>
            <w:rStyle w:val="Hyperlink"/>
            <w:i/>
            <w:iCs/>
          </w:rPr>
          <w:t xml:space="preserve">Medical Practitioner Workforce Plan for Queensland </w:t>
        </w:r>
        <w:r w:rsidRPr="00D7007A">
          <w:rPr>
            <w:rStyle w:val="Hyperlink"/>
          </w:rPr>
          <w:t>(MPWP4Q)</w:t>
        </w:r>
        <w:r w:rsidR="00757ADC" w:rsidRPr="00D7007A">
          <w:rPr>
            <w:rStyle w:val="Hyperlink"/>
          </w:rPr>
          <w:t>.</w:t>
        </w:r>
      </w:hyperlink>
      <w:r w:rsidR="00757ADC" w:rsidRPr="00AF5538">
        <w:t xml:space="preserve"> </w:t>
      </w:r>
    </w:p>
    <w:p w14:paraId="2A35B9B9" w14:textId="7B73ACE2" w:rsidR="00C14F3B" w:rsidRPr="00C14F3B" w:rsidRDefault="00404A8A" w:rsidP="00C14F3B">
      <w:pPr>
        <w:pStyle w:val="IntroParagraph"/>
        <w:spacing w:before="120" w:after="120" w:line="276" w:lineRule="auto"/>
        <w:rPr>
          <w:rFonts w:cstheme="minorBidi"/>
          <w:color w:val="3A3E3E" w:themeColor="background2" w:themeShade="40"/>
          <w:kern w:val="0"/>
          <w:sz w:val="21"/>
          <w:szCs w:val="21"/>
          <w:lang w:eastAsia="en-US"/>
          <w14:numSpacing w14:val="default"/>
        </w:rPr>
      </w:pPr>
      <w:r w:rsidRPr="00C14F3B">
        <w:rPr>
          <w:rFonts w:cstheme="minorBidi"/>
          <w:color w:val="3A3E3E" w:themeColor="background2" w:themeShade="40"/>
          <w:kern w:val="0"/>
          <w:sz w:val="21"/>
          <w:szCs w:val="21"/>
          <w:lang w:eastAsia="en-US"/>
          <w14:numSpacing w14:val="default"/>
        </w:rPr>
        <w:t>The MPWP4Q was developed and released in 2017 to support the delivery of a high quality and well distributed medical workforce through activities that increase training opportunities, assist retention a</w:t>
      </w:r>
      <w:r w:rsidR="00764292" w:rsidRPr="00C14F3B">
        <w:rPr>
          <w:rFonts w:cstheme="minorBidi"/>
          <w:color w:val="3A3E3E" w:themeColor="background2" w:themeShade="40"/>
          <w:kern w:val="0"/>
          <w:sz w:val="21"/>
          <w:szCs w:val="21"/>
          <w:lang w:eastAsia="en-US"/>
          <w14:numSpacing w14:val="default"/>
        </w:rPr>
        <w:t>nd recruitment, and promote the wellbeing of medical practitioners. Importantly, the MPWP4Q</w:t>
      </w:r>
      <w:r w:rsidR="00C14F3B">
        <w:rPr>
          <w:rFonts w:cstheme="minorBidi"/>
          <w:color w:val="3A3E3E" w:themeColor="background2" w:themeShade="40"/>
          <w:kern w:val="0"/>
          <w:sz w:val="21"/>
          <w:szCs w:val="21"/>
          <w:lang w:eastAsia="en-US"/>
          <w14:numSpacing w14:val="default"/>
        </w:rPr>
        <w:t xml:space="preserve"> also</w:t>
      </w:r>
      <w:r w:rsidR="00764292" w:rsidRPr="00C14F3B">
        <w:rPr>
          <w:rFonts w:cstheme="minorBidi"/>
          <w:color w:val="3A3E3E" w:themeColor="background2" w:themeShade="40"/>
          <w:kern w:val="0"/>
          <w:sz w:val="21"/>
          <w:szCs w:val="21"/>
          <w:lang w:eastAsia="en-US"/>
          <w14:numSpacing w14:val="default"/>
        </w:rPr>
        <w:t xml:space="preserve"> aims to improve the health outcomes of people living in regional, rural and remote Queensland by encouraging medical practitioners to live, train and work in these communities.</w:t>
      </w:r>
    </w:p>
    <w:p w14:paraId="1F314855" w14:textId="29ED50A8" w:rsidR="00C14F3B" w:rsidRPr="00C14F3B" w:rsidRDefault="005D175E" w:rsidP="00C14F3B">
      <w:pPr>
        <w:pStyle w:val="IntroParagraph"/>
        <w:spacing w:before="120" w:after="120" w:line="276" w:lineRule="auto"/>
        <w:rPr>
          <w:rFonts w:cstheme="minorBidi"/>
          <w:color w:val="3A3E3E" w:themeColor="background2" w:themeShade="40"/>
          <w:kern w:val="0"/>
          <w:sz w:val="21"/>
          <w:szCs w:val="21"/>
          <w:lang w:eastAsia="en-US"/>
          <w14:numSpacing w14:val="default"/>
        </w:rPr>
      </w:pPr>
      <w:r w:rsidRPr="00C14F3B">
        <w:rPr>
          <w:rFonts w:cstheme="minorBidi"/>
          <w:color w:val="3A3E3E" w:themeColor="background2" w:themeShade="40"/>
          <w:kern w:val="0"/>
          <w:sz w:val="21"/>
          <w:szCs w:val="21"/>
          <w:lang w:eastAsia="en-US"/>
          <w14:numSpacing w14:val="default"/>
        </w:rPr>
        <w:t>The MPWP4Q is intended to be reviewed regularly to ensure that it remains relevant, appropriate and fit for purpose particularly in the wake of the COVID-19 pandemic. As we pass the halfway point of the MPWP4Q, the Department of Health invites applications</w:t>
      </w:r>
      <w:r w:rsidR="007E6BEE" w:rsidRPr="00C14F3B">
        <w:rPr>
          <w:rFonts w:cstheme="minorBidi"/>
          <w:color w:val="3A3E3E" w:themeColor="background2" w:themeShade="40"/>
          <w:kern w:val="0"/>
          <w:sz w:val="21"/>
          <w:szCs w:val="21"/>
          <w:lang w:eastAsia="en-US"/>
          <w14:numSpacing w14:val="default"/>
        </w:rPr>
        <w:t xml:space="preserve"> for</w:t>
      </w:r>
      <w:r w:rsidR="00755AA0" w:rsidRPr="00C14F3B">
        <w:rPr>
          <w:rFonts w:cstheme="minorBidi"/>
          <w:color w:val="3A3E3E" w:themeColor="background2" w:themeShade="40"/>
          <w:kern w:val="0"/>
          <w:sz w:val="21"/>
          <w:szCs w:val="21"/>
          <w:lang w:eastAsia="en-US"/>
          <w14:numSpacing w14:val="default"/>
        </w:rPr>
        <w:t xml:space="preserve"> </w:t>
      </w:r>
      <w:r w:rsidR="007E6BEE" w:rsidRPr="00C14F3B">
        <w:rPr>
          <w:rFonts w:cstheme="minorBidi"/>
          <w:color w:val="3A3E3E" w:themeColor="background2" w:themeShade="40"/>
          <w:kern w:val="0"/>
          <w:sz w:val="21"/>
          <w:szCs w:val="21"/>
          <w:lang w:eastAsia="en-US"/>
          <w14:numSpacing w14:val="default"/>
        </w:rPr>
        <w:t xml:space="preserve">funding to support the implementation of </w:t>
      </w:r>
      <w:r w:rsidR="00DC14C3" w:rsidRPr="00C14F3B">
        <w:rPr>
          <w:rFonts w:cstheme="minorBidi"/>
          <w:color w:val="3A3E3E" w:themeColor="background2" w:themeShade="40"/>
          <w:kern w:val="0"/>
          <w:sz w:val="21"/>
          <w:szCs w:val="21"/>
          <w:lang w:eastAsia="en-US"/>
          <w14:numSpacing w14:val="default"/>
        </w:rPr>
        <w:t xml:space="preserve">initiatives under </w:t>
      </w:r>
      <w:r w:rsidRPr="00C14F3B">
        <w:rPr>
          <w:rFonts w:cstheme="minorBidi"/>
          <w:color w:val="3A3E3E" w:themeColor="background2" w:themeShade="40"/>
          <w:kern w:val="0"/>
          <w:sz w:val="21"/>
          <w:szCs w:val="21"/>
          <w:lang w:eastAsia="en-US"/>
          <w14:numSpacing w14:val="default"/>
        </w:rPr>
        <w:t xml:space="preserve">the next phase of the plan. </w:t>
      </w:r>
    </w:p>
    <w:p w14:paraId="3F903B8D" w14:textId="77777777" w:rsidR="0018461D" w:rsidRPr="000D359C" w:rsidRDefault="0085442D" w:rsidP="000D359C">
      <w:pPr>
        <w:pStyle w:val="Heading2"/>
        <w:rPr>
          <w:b/>
          <w:bCs/>
          <w:sz w:val="32"/>
          <w:szCs w:val="32"/>
        </w:rPr>
      </w:pPr>
      <w:r w:rsidRPr="000D359C">
        <w:rPr>
          <w:b/>
          <w:bCs/>
          <w:sz w:val="32"/>
          <w:szCs w:val="32"/>
        </w:rPr>
        <w:t xml:space="preserve">Process </w:t>
      </w:r>
      <w:bookmarkStart w:id="0" w:name="_Hlk130912060"/>
      <w:r w:rsidRPr="000D359C">
        <w:rPr>
          <w:b/>
          <w:bCs/>
          <w:sz w:val="32"/>
          <w:szCs w:val="32"/>
        </w:rPr>
        <w:t>overview</w:t>
      </w:r>
      <w:bookmarkEnd w:id="0"/>
    </w:p>
    <w:p w14:paraId="36DF8BA5" w14:textId="31A2C7FE" w:rsidR="00C14F3B" w:rsidRDefault="00755AA0" w:rsidP="0018461D">
      <w:pPr>
        <w:pStyle w:val="IntroParagraph"/>
        <w:rPr>
          <w:rFonts w:cstheme="minorBidi"/>
          <w:color w:val="3A3E3E" w:themeColor="background2" w:themeShade="40"/>
          <w:kern w:val="0"/>
          <w:sz w:val="21"/>
          <w:szCs w:val="21"/>
          <w:lang w:eastAsia="en-US"/>
          <w14:numSpacing w14:val="default"/>
        </w:rPr>
      </w:pPr>
      <w:r w:rsidRPr="009140B9">
        <w:rPr>
          <w:rFonts w:cstheme="minorBidi"/>
          <w:color w:val="3A3E3E" w:themeColor="background2" w:themeShade="40"/>
          <w:kern w:val="0"/>
          <w:sz w:val="21"/>
          <w:szCs w:val="21"/>
          <w:lang w:eastAsia="en-US"/>
          <w14:numSpacing w14:val="default"/>
        </w:rPr>
        <w:t xml:space="preserve">Funding will be awarded </w:t>
      </w:r>
      <w:r w:rsidR="00BC750B" w:rsidRPr="009140B9">
        <w:rPr>
          <w:rFonts w:cstheme="minorBidi"/>
          <w:color w:val="3A3E3E" w:themeColor="background2" w:themeShade="40"/>
          <w:kern w:val="0"/>
          <w:sz w:val="21"/>
          <w:szCs w:val="21"/>
          <w:lang w:eastAsia="en-US"/>
          <w14:numSpacing w14:val="default"/>
        </w:rPr>
        <w:t xml:space="preserve">following </w:t>
      </w:r>
      <w:r w:rsidR="006053A8">
        <w:rPr>
          <w:rFonts w:cstheme="minorBidi"/>
          <w:color w:val="3A3E3E" w:themeColor="background2" w:themeShade="40"/>
          <w:kern w:val="0"/>
          <w:sz w:val="21"/>
          <w:szCs w:val="21"/>
          <w:lang w:eastAsia="en-US"/>
          <w14:numSpacing w14:val="default"/>
        </w:rPr>
        <w:t>a one-step</w:t>
      </w:r>
      <w:r w:rsidR="00BC750B" w:rsidRPr="009140B9">
        <w:rPr>
          <w:rFonts w:cstheme="minorBidi"/>
          <w:color w:val="3A3E3E" w:themeColor="background2" w:themeShade="40"/>
          <w:kern w:val="0"/>
          <w:sz w:val="21"/>
          <w:szCs w:val="21"/>
          <w:lang w:eastAsia="en-US"/>
          <w14:numSpacing w14:val="default"/>
        </w:rPr>
        <w:t xml:space="preserve"> application process as detailed in these guidelines.</w:t>
      </w:r>
    </w:p>
    <w:p w14:paraId="4CDF236E" w14:textId="5094FD50" w:rsidR="0018461D" w:rsidRPr="0018461D" w:rsidRDefault="0018461D" w:rsidP="0018461D">
      <w:pPr>
        <w:pStyle w:val="IntroParagraph"/>
        <w:rPr>
          <w:b/>
          <w:bCs/>
          <w:sz w:val="32"/>
        </w:rPr>
      </w:pPr>
      <w:r>
        <w:rPr>
          <w:noProof/>
        </w:rPr>
        <w:drawing>
          <wp:inline distT="0" distB="0" distL="0" distR="0" wp14:anchorId="7EC6CB4A" wp14:editId="0898286D">
            <wp:extent cx="5615940" cy="3996267"/>
            <wp:effectExtent l="0" t="0" r="22860" b="2349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5870A52" w14:textId="28082B76" w:rsidR="00495AE1" w:rsidRPr="009140B9" w:rsidRDefault="00495AE1" w:rsidP="00F12452">
      <w:pPr>
        <w:pStyle w:val="Heading2"/>
        <w:spacing w:before="120" w:after="120" w:line="276" w:lineRule="auto"/>
        <w:rPr>
          <w:b/>
          <w:bCs/>
          <w:i/>
          <w:iCs/>
          <w:color w:val="27AAE1" w:themeColor="accent3"/>
          <w:sz w:val="24"/>
          <w:szCs w:val="24"/>
        </w:rPr>
      </w:pPr>
      <w:r w:rsidRPr="009140B9">
        <w:rPr>
          <w:b/>
          <w:bCs/>
          <w:i/>
          <w:iCs/>
          <w:color w:val="27AAE1" w:themeColor="accent3"/>
          <w:sz w:val="24"/>
          <w:szCs w:val="24"/>
        </w:rPr>
        <w:lastRenderedPageBreak/>
        <w:t xml:space="preserve">Funding amount and </w:t>
      </w:r>
      <w:bookmarkStart w:id="1" w:name="_Hlk130912040"/>
      <w:r w:rsidRPr="009140B9">
        <w:rPr>
          <w:b/>
          <w:bCs/>
          <w:i/>
          <w:iCs/>
          <w:color w:val="27AAE1" w:themeColor="accent3"/>
          <w:sz w:val="24"/>
          <w:szCs w:val="24"/>
        </w:rPr>
        <w:t>period</w:t>
      </w:r>
      <w:bookmarkEnd w:id="1"/>
    </w:p>
    <w:p w14:paraId="680AB4CF" w14:textId="13103897" w:rsidR="00F50D91" w:rsidRDefault="009140B9" w:rsidP="00EF393D">
      <w:pPr>
        <w:spacing w:before="120" w:after="120"/>
      </w:pPr>
      <w:r>
        <w:t xml:space="preserve">The Department of Health has committed approximately </w:t>
      </w:r>
      <w:r w:rsidRPr="00314D78">
        <w:t>$</w:t>
      </w:r>
      <w:r w:rsidR="0002066B" w:rsidRPr="00314D78">
        <w:t>5</w:t>
      </w:r>
      <w:r w:rsidRPr="00314D78">
        <w:t xml:space="preserve"> million per annum</w:t>
      </w:r>
      <w:r>
        <w:t xml:space="preserve"> for the implementation of </w:t>
      </w:r>
      <w:r w:rsidR="009C7746">
        <w:t xml:space="preserve">round </w:t>
      </w:r>
      <w:r w:rsidR="00D7007A">
        <w:t>three funding</w:t>
      </w:r>
      <w:r>
        <w:t xml:space="preserve"> of the MPWP4Q over the 2023-24, 2024-25, 2025-26 and 2026-27 financial years. </w:t>
      </w:r>
    </w:p>
    <w:p w14:paraId="283D2DB6" w14:textId="6C71E48A" w:rsidR="00F93454" w:rsidRDefault="00F50D91" w:rsidP="00EF393D">
      <w:pPr>
        <w:spacing w:before="120" w:after="120"/>
      </w:pPr>
      <w:r>
        <w:t>Funding will be awarded to successful applicants for a period of between one to four years at the discretion</w:t>
      </w:r>
      <w:r w:rsidR="00F93454">
        <w:t xml:space="preserve"> and determination</w:t>
      </w:r>
      <w:r>
        <w:t xml:space="preserve"> of the Funding Assessment Committee. </w:t>
      </w:r>
    </w:p>
    <w:p w14:paraId="209EDE27" w14:textId="126E303C" w:rsidR="00F50D91" w:rsidRPr="003D15AC" w:rsidRDefault="00F50D91" w:rsidP="00EF393D">
      <w:pPr>
        <w:spacing w:before="120" w:after="120"/>
        <w:rPr>
          <w:b/>
          <w:bCs/>
        </w:rPr>
      </w:pPr>
      <w:r w:rsidRPr="003D15AC">
        <w:rPr>
          <w:b/>
          <w:bCs/>
        </w:rPr>
        <w:t xml:space="preserve">It is </w:t>
      </w:r>
      <w:r w:rsidR="00D7007A" w:rsidRPr="003D15AC">
        <w:rPr>
          <w:b/>
          <w:bCs/>
        </w:rPr>
        <w:t>to be noted</w:t>
      </w:r>
      <w:r w:rsidRPr="003D15AC">
        <w:rPr>
          <w:b/>
          <w:bCs/>
        </w:rPr>
        <w:t xml:space="preserve"> </w:t>
      </w:r>
      <w:r w:rsidR="00B222BC" w:rsidRPr="003D15AC">
        <w:rPr>
          <w:b/>
          <w:bCs/>
        </w:rPr>
        <w:t>that</w:t>
      </w:r>
      <w:r w:rsidRPr="003D15AC">
        <w:rPr>
          <w:b/>
          <w:bCs/>
        </w:rPr>
        <w:t xml:space="preserve"> funding under the MPWP4Q is non-recurrent and applicants will be responsible for securing a sustainable funding source at the conclusion of the </w:t>
      </w:r>
      <w:r w:rsidR="00B222BC" w:rsidRPr="003D15AC">
        <w:rPr>
          <w:b/>
          <w:bCs/>
        </w:rPr>
        <w:t>funding</w:t>
      </w:r>
      <w:r w:rsidRPr="003D15AC">
        <w:rPr>
          <w:b/>
          <w:bCs/>
        </w:rPr>
        <w:t xml:space="preserve"> period.</w:t>
      </w:r>
    </w:p>
    <w:p w14:paraId="0EEFDC53" w14:textId="02E1CBCF" w:rsidR="006D21E1" w:rsidRDefault="00F50D91" w:rsidP="00EF393D">
      <w:pPr>
        <w:spacing w:before="120" w:after="120"/>
      </w:pPr>
      <w:r>
        <w:t>It is intended that funding will be transferred to successful applicants in Amendment Window 2 of the 2023-24 financial year and Amendment Window 1 of subsequent financial years (for hospital and health services).</w:t>
      </w:r>
    </w:p>
    <w:p w14:paraId="63578FD2" w14:textId="4BA92DEF" w:rsidR="006D21E1" w:rsidRPr="006D21E1" w:rsidRDefault="00C14F3B" w:rsidP="006D21E1">
      <w:pPr>
        <w:pStyle w:val="Heading2"/>
        <w:spacing w:before="120" w:after="120" w:line="276" w:lineRule="auto"/>
        <w:rPr>
          <w:rFonts w:eastAsiaTheme="minorHAnsi" w:cstheme="minorBidi"/>
          <w:color w:val="3A3E3E" w:themeColor="background2" w:themeShade="40"/>
          <w:kern w:val="0"/>
          <w:sz w:val="21"/>
          <w:szCs w:val="21"/>
          <w:lang w:eastAsia="en-US"/>
          <w14:numSpacing w14:val="default"/>
        </w:rPr>
      </w:pPr>
      <w:r w:rsidRPr="009140B9">
        <w:rPr>
          <w:rFonts w:eastAsiaTheme="minorHAnsi" w:cstheme="minorBidi"/>
          <w:color w:val="3A3E3E" w:themeColor="background2" w:themeShade="40"/>
          <w:kern w:val="0"/>
          <w:sz w:val="21"/>
          <w:szCs w:val="21"/>
          <w:lang w:eastAsia="en-US"/>
          <w14:numSpacing w14:val="default"/>
        </w:rPr>
        <w:t>The funding opportunity process will be administered by the Medical Advisory and Prevocational Accreditation Unit</w:t>
      </w:r>
      <w:r w:rsidR="0091679C">
        <w:rPr>
          <w:rFonts w:eastAsiaTheme="minorHAnsi" w:cstheme="minorBidi"/>
          <w:color w:val="3A3E3E" w:themeColor="background2" w:themeShade="40"/>
          <w:kern w:val="0"/>
          <w:sz w:val="21"/>
          <w:szCs w:val="21"/>
          <w:lang w:eastAsia="en-US"/>
          <w14:numSpacing w14:val="default"/>
        </w:rPr>
        <w:t xml:space="preserve"> (MAPAU)</w:t>
      </w:r>
      <w:r w:rsidRPr="009140B9">
        <w:rPr>
          <w:rFonts w:eastAsiaTheme="minorHAnsi" w:cstheme="minorBidi"/>
          <w:color w:val="3A3E3E" w:themeColor="background2" w:themeShade="40"/>
          <w:kern w:val="0"/>
          <w:sz w:val="21"/>
          <w:szCs w:val="21"/>
          <w:lang w:eastAsia="en-US"/>
          <w14:numSpacing w14:val="default"/>
        </w:rPr>
        <w:t>, Clinical Planning and Service Strategy Division, Department of Health</w:t>
      </w:r>
      <w:r w:rsidR="00F50D91">
        <w:rPr>
          <w:rFonts w:eastAsiaTheme="minorHAnsi" w:cstheme="minorBidi"/>
          <w:color w:val="3A3E3E" w:themeColor="background2" w:themeShade="40"/>
          <w:kern w:val="0"/>
          <w:sz w:val="21"/>
          <w:szCs w:val="21"/>
          <w:lang w:eastAsia="en-US"/>
          <w14:numSpacing w14:val="default"/>
        </w:rPr>
        <w:t xml:space="preserve"> with the final decision maker being the Deputy Director-General, Clinical Planning and Service Strategy Division, Department of Health</w:t>
      </w:r>
      <w:r w:rsidRPr="009140B9">
        <w:rPr>
          <w:rFonts w:eastAsiaTheme="minorHAnsi" w:cstheme="minorBidi"/>
          <w:color w:val="3A3E3E" w:themeColor="background2" w:themeShade="40"/>
          <w:kern w:val="0"/>
          <w:sz w:val="21"/>
          <w:szCs w:val="21"/>
          <w:lang w:eastAsia="en-US"/>
          <w14:numSpacing w14:val="default"/>
        </w:rPr>
        <w:t>.</w:t>
      </w:r>
    </w:p>
    <w:p w14:paraId="6CB75012" w14:textId="4F87A465" w:rsidR="00F001F8" w:rsidRPr="00F001F8" w:rsidRDefault="00F001F8" w:rsidP="00F001F8">
      <w:pPr>
        <w:pStyle w:val="BodyText"/>
      </w:pPr>
      <w:r w:rsidRPr="00956EEB">
        <w:rPr>
          <w:lang w:eastAsia="en-AU"/>
        </w:rPr>
        <w:t>Please note that submitting an application does not guarantee funding.</w:t>
      </w:r>
    </w:p>
    <w:p w14:paraId="05BFDB1C" w14:textId="77777777" w:rsidR="00C14F3B" w:rsidRDefault="00C14F3B" w:rsidP="00EF393D">
      <w:pPr>
        <w:spacing w:before="120" w:after="120"/>
      </w:pPr>
    </w:p>
    <w:p w14:paraId="0BDDFAB4" w14:textId="3EE64DB1" w:rsidR="009140B9" w:rsidRDefault="009140B9">
      <w:r>
        <w:br w:type="page"/>
      </w:r>
    </w:p>
    <w:p w14:paraId="1968D347" w14:textId="5087A708" w:rsidR="00495AE1" w:rsidRPr="00EF393D" w:rsidRDefault="0085442D" w:rsidP="00495AE1">
      <w:pPr>
        <w:pStyle w:val="Heading2"/>
        <w:rPr>
          <w:b/>
          <w:bCs/>
          <w:sz w:val="32"/>
          <w:szCs w:val="32"/>
        </w:rPr>
      </w:pPr>
      <w:r w:rsidRPr="00EF393D">
        <w:rPr>
          <w:b/>
          <w:bCs/>
          <w:sz w:val="32"/>
          <w:szCs w:val="32"/>
        </w:rPr>
        <w:lastRenderedPageBreak/>
        <w:t>Eligibility</w:t>
      </w:r>
      <w:r w:rsidR="009140B9" w:rsidRPr="00EF393D">
        <w:rPr>
          <w:b/>
          <w:bCs/>
          <w:sz w:val="32"/>
          <w:szCs w:val="32"/>
        </w:rPr>
        <w:t xml:space="preserve"> requirements</w:t>
      </w:r>
    </w:p>
    <w:tbl>
      <w:tblPr>
        <w:tblStyle w:val="GridTable5Dark-Accent1"/>
        <w:tblW w:w="0" w:type="auto"/>
        <w:tblLook w:val="04A0" w:firstRow="1" w:lastRow="0" w:firstColumn="1" w:lastColumn="0" w:noHBand="0" w:noVBand="1"/>
      </w:tblPr>
      <w:tblGrid>
        <w:gridCol w:w="2410"/>
        <w:gridCol w:w="6434"/>
      </w:tblGrid>
      <w:tr w:rsidR="00C91DB8" w:rsidRPr="00A5272B" w14:paraId="206EAD90" w14:textId="77777777" w:rsidTr="00760D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44" w:type="dxa"/>
            <w:gridSpan w:val="2"/>
          </w:tcPr>
          <w:p w14:paraId="040A7672" w14:textId="7F1FAD40" w:rsidR="00C91DB8" w:rsidRPr="00A5272B" w:rsidRDefault="00C91DB8" w:rsidP="00760D94">
            <w:pPr>
              <w:jc w:val="both"/>
              <w:rPr>
                <w:bCs w:val="0"/>
                <w:lang w:eastAsia="en-AU"/>
              </w:rPr>
            </w:pPr>
          </w:p>
        </w:tc>
      </w:tr>
      <w:tr w:rsidR="00C91DB8" w:rsidRPr="00BB79C7" w14:paraId="24E128C2" w14:textId="77777777" w:rsidTr="00F52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1051EFD" w14:textId="77777777" w:rsidR="00C91DB8" w:rsidRPr="006D7274" w:rsidRDefault="00C91DB8" w:rsidP="00EF393D">
            <w:pPr>
              <w:spacing w:before="120" w:after="120" w:line="276" w:lineRule="auto"/>
              <w:rPr>
                <w:b/>
                <w:bCs w:val="0"/>
                <w:sz w:val="20"/>
                <w:szCs w:val="20"/>
                <w:lang w:eastAsia="en-AU"/>
              </w:rPr>
            </w:pPr>
            <w:r w:rsidRPr="006D7274">
              <w:rPr>
                <w:b/>
                <w:bCs w:val="0"/>
                <w:sz w:val="20"/>
                <w:szCs w:val="20"/>
                <w:lang w:eastAsia="en-AU"/>
              </w:rPr>
              <w:t xml:space="preserve">Applicants must have all of the following: </w:t>
            </w:r>
          </w:p>
        </w:tc>
        <w:tc>
          <w:tcPr>
            <w:tcW w:w="6434" w:type="dxa"/>
          </w:tcPr>
          <w:p w14:paraId="4C82BA28" w14:textId="77777777" w:rsidR="00C91DB8" w:rsidRPr="009B7586" w:rsidRDefault="00C91DB8" w:rsidP="008B6794">
            <w:pPr>
              <w:pStyle w:val="ListParagraph"/>
              <w:numPr>
                <w:ilvl w:val="0"/>
                <w:numId w:val="21"/>
              </w:numPr>
              <w:tabs>
                <w:tab w:val="left" w:pos="1134"/>
                <w:tab w:val="left" w:pos="2835"/>
              </w:tabs>
              <w:spacing w:line="276" w:lineRule="auto"/>
              <w:contextualSpacing w:val="0"/>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9B7586">
              <w:rPr>
                <w:sz w:val="20"/>
                <w:szCs w:val="20"/>
                <w:lang w:eastAsia="en-AU"/>
              </w:rPr>
              <w:t>an ABN; and</w:t>
            </w:r>
          </w:p>
          <w:p w14:paraId="4E2C8019" w14:textId="77777777" w:rsidR="00C91DB8" w:rsidRPr="009B7586" w:rsidRDefault="00C91DB8" w:rsidP="008B6794">
            <w:pPr>
              <w:pStyle w:val="ListParagraph"/>
              <w:numPr>
                <w:ilvl w:val="0"/>
                <w:numId w:val="21"/>
              </w:numPr>
              <w:tabs>
                <w:tab w:val="left" w:pos="1134"/>
                <w:tab w:val="left" w:pos="2835"/>
              </w:tabs>
              <w:spacing w:line="276" w:lineRule="auto"/>
              <w:contextualSpacing w:val="0"/>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9B7586">
              <w:rPr>
                <w:sz w:val="20"/>
                <w:szCs w:val="20"/>
                <w:lang w:eastAsia="en-AU"/>
              </w:rPr>
              <w:t>be registered for the purposes of GST; and</w:t>
            </w:r>
          </w:p>
          <w:p w14:paraId="1C3B2AAE" w14:textId="77777777" w:rsidR="00C91DB8" w:rsidRPr="009B7586" w:rsidRDefault="00C91DB8" w:rsidP="008B6794">
            <w:pPr>
              <w:pStyle w:val="ListParagraph"/>
              <w:numPr>
                <w:ilvl w:val="0"/>
                <w:numId w:val="21"/>
              </w:numPr>
              <w:tabs>
                <w:tab w:val="left" w:pos="1134"/>
                <w:tab w:val="left" w:pos="2835"/>
              </w:tabs>
              <w:spacing w:line="276" w:lineRule="auto"/>
              <w:contextualSpacing w:val="0"/>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9B7586">
              <w:rPr>
                <w:sz w:val="20"/>
                <w:szCs w:val="20"/>
                <w:lang w:eastAsia="en-AU"/>
              </w:rPr>
              <w:t>an account with an Australian financial institution.</w:t>
            </w:r>
          </w:p>
        </w:tc>
      </w:tr>
      <w:tr w:rsidR="00C91DB8" w:rsidRPr="009A4977" w14:paraId="4A999512" w14:textId="77777777" w:rsidTr="00F52A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CE56241" w14:textId="77777777" w:rsidR="00C91DB8" w:rsidRPr="006D7274" w:rsidRDefault="00C91DB8" w:rsidP="00EF393D">
            <w:pPr>
              <w:spacing w:before="120" w:after="120" w:line="276" w:lineRule="auto"/>
              <w:rPr>
                <w:b/>
                <w:bCs w:val="0"/>
                <w:sz w:val="20"/>
                <w:szCs w:val="20"/>
                <w:lang w:eastAsia="en-AU"/>
              </w:rPr>
            </w:pPr>
            <w:r w:rsidRPr="006D7274">
              <w:rPr>
                <w:b/>
                <w:bCs w:val="0"/>
                <w:sz w:val="20"/>
                <w:szCs w:val="20"/>
                <w:lang w:eastAsia="en-AU"/>
              </w:rPr>
              <w:t>Applicants must also be one of the following entity types within Queensland:</w:t>
            </w:r>
          </w:p>
        </w:tc>
        <w:tc>
          <w:tcPr>
            <w:tcW w:w="6434" w:type="dxa"/>
          </w:tcPr>
          <w:p w14:paraId="36F75844" w14:textId="56EE626D" w:rsidR="00C91DB8" w:rsidRPr="009B7586" w:rsidRDefault="00C91DB8" w:rsidP="008B6794">
            <w:pPr>
              <w:pStyle w:val="ListParagraph"/>
              <w:numPr>
                <w:ilvl w:val="0"/>
                <w:numId w:val="22"/>
              </w:numPr>
              <w:tabs>
                <w:tab w:val="left" w:pos="1134"/>
                <w:tab w:val="left" w:pos="2835"/>
              </w:tabs>
              <w:spacing w:line="276" w:lineRule="auto"/>
              <w:contextualSpacing w:val="0"/>
              <w:textboxTightWrap w:val="none"/>
              <w:cnfStyle w:val="000000010000" w:firstRow="0" w:lastRow="0" w:firstColumn="0" w:lastColumn="0" w:oddVBand="0" w:evenVBand="0" w:oddHBand="0" w:evenHBand="1" w:firstRowFirstColumn="0" w:firstRowLastColumn="0" w:lastRowFirstColumn="0" w:lastRowLastColumn="0"/>
              <w:rPr>
                <w:sz w:val="20"/>
                <w:szCs w:val="20"/>
                <w:lang w:eastAsia="en-AU"/>
              </w:rPr>
            </w:pPr>
            <w:r w:rsidRPr="009B7586">
              <w:rPr>
                <w:sz w:val="20"/>
                <w:szCs w:val="20"/>
                <w:lang w:eastAsia="en-AU"/>
              </w:rPr>
              <w:t>a hospital and health service</w:t>
            </w:r>
            <w:r w:rsidR="00B222BC">
              <w:rPr>
                <w:sz w:val="20"/>
                <w:szCs w:val="20"/>
                <w:lang w:eastAsia="en-AU"/>
              </w:rPr>
              <w:t xml:space="preserve"> (HHS)</w:t>
            </w:r>
            <w:r w:rsidRPr="009B7586">
              <w:rPr>
                <w:sz w:val="20"/>
                <w:szCs w:val="20"/>
                <w:lang w:eastAsia="en-AU"/>
              </w:rPr>
              <w:t>;</w:t>
            </w:r>
          </w:p>
          <w:p w14:paraId="4A01FDE5" w14:textId="77777777" w:rsidR="00C91DB8" w:rsidRPr="009B7586" w:rsidRDefault="00C91DB8" w:rsidP="008B6794">
            <w:pPr>
              <w:pStyle w:val="ListParagraph"/>
              <w:numPr>
                <w:ilvl w:val="0"/>
                <w:numId w:val="22"/>
              </w:numPr>
              <w:tabs>
                <w:tab w:val="left" w:pos="1134"/>
                <w:tab w:val="left" w:pos="2835"/>
              </w:tabs>
              <w:spacing w:line="276" w:lineRule="auto"/>
              <w:contextualSpacing w:val="0"/>
              <w:textboxTightWrap w:val="none"/>
              <w:cnfStyle w:val="000000010000" w:firstRow="0" w:lastRow="0" w:firstColumn="0" w:lastColumn="0" w:oddVBand="0" w:evenVBand="0" w:oddHBand="0" w:evenHBand="1" w:firstRowFirstColumn="0" w:firstRowLastColumn="0" w:lastRowFirstColumn="0" w:lastRowLastColumn="0"/>
              <w:rPr>
                <w:sz w:val="20"/>
                <w:szCs w:val="20"/>
                <w:lang w:eastAsia="en-AU"/>
              </w:rPr>
            </w:pPr>
            <w:r w:rsidRPr="009B7586">
              <w:rPr>
                <w:sz w:val="20"/>
                <w:szCs w:val="20"/>
                <w:lang w:eastAsia="en-AU"/>
              </w:rPr>
              <w:t>a company incorporated in Australia;</w:t>
            </w:r>
          </w:p>
          <w:p w14:paraId="49762830" w14:textId="77777777" w:rsidR="00C91DB8" w:rsidRPr="009B7586" w:rsidRDefault="00C91DB8" w:rsidP="008B6794">
            <w:pPr>
              <w:pStyle w:val="ListParagraph"/>
              <w:numPr>
                <w:ilvl w:val="0"/>
                <w:numId w:val="22"/>
              </w:numPr>
              <w:tabs>
                <w:tab w:val="left" w:pos="1134"/>
                <w:tab w:val="left" w:pos="2835"/>
              </w:tabs>
              <w:spacing w:line="276" w:lineRule="auto"/>
              <w:contextualSpacing w:val="0"/>
              <w:textboxTightWrap w:val="none"/>
              <w:cnfStyle w:val="000000010000" w:firstRow="0" w:lastRow="0" w:firstColumn="0" w:lastColumn="0" w:oddVBand="0" w:evenVBand="0" w:oddHBand="0" w:evenHBand="1" w:firstRowFirstColumn="0" w:firstRowLastColumn="0" w:lastRowFirstColumn="0" w:lastRowLastColumn="0"/>
              <w:rPr>
                <w:sz w:val="20"/>
                <w:szCs w:val="20"/>
                <w:lang w:eastAsia="en-AU"/>
              </w:rPr>
            </w:pPr>
            <w:r w:rsidRPr="009B7586">
              <w:rPr>
                <w:sz w:val="20"/>
                <w:szCs w:val="20"/>
                <w:lang w:eastAsia="en-AU"/>
              </w:rPr>
              <w:t>a company incorporated by guarantee;</w:t>
            </w:r>
          </w:p>
          <w:p w14:paraId="54F085CA" w14:textId="77777777" w:rsidR="00C91DB8" w:rsidRPr="009B7586" w:rsidRDefault="00C91DB8" w:rsidP="008B6794">
            <w:pPr>
              <w:pStyle w:val="ListParagraph"/>
              <w:numPr>
                <w:ilvl w:val="0"/>
                <w:numId w:val="22"/>
              </w:numPr>
              <w:tabs>
                <w:tab w:val="left" w:pos="1134"/>
                <w:tab w:val="left" w:pos="2835"/>
              </w:tabs>
              <w:spacing w:line="276" w:lineRule="auto"/>
              <w:contextualSpacing w:val="0"/>
              <w:textboxTightWrap w:val="none"/>
              <w:cnfStyle w:val="000000010000" w:firstRow="0" w:lastRow="0" w:firstColumn="0" w:lastColumn="0" w:oddVBand="0" w:evenVBand="0" w:oddHBand="0" w:evenHBand="1" w:firstRowFirstColumn="0" w:firstRowLastColumn="0" w:lastRowFirstColumn="0" w:lastRowLastColumn="0"/>
              <w:rPr>
                <w:sz w:val="20"/>
                <w:szCs w:val="20"/>
                <w:lang w:eastAsia="en-AU"/>
              </w:rPr>
            </w:pPr>
            <w:r w:rsidRPr="009B7586">
              <w:rPr>
                <w:sz w:val="20"/>
                <w:szCs w:val="20"/>
                <w:lang w:eastAsia="en-AU"/>
              </w:rPr>
              <w:t>an incorporated trustee on behalf of a trust;</w:t>
            </w:r>
          </w:p>
          <w:p w14:paraId="2A4973BF" w14:textId="77777777" w:rsidR="00C91DB8" w:rsidRPr="009B7586" w:rsidRDefault="00C91DB8" w:rsidP="008B6794">
            <w:pPr>
              <w:pStyle w:val="ListParagraph"/>
              <w:numPr>
                <w:ilvl w:val="0"/>
                <w:numId w:val="22"/>
              </w:numPr>
              <w:tabs>
                <w:tab w:val="left" w:pos="1134"/>
                <w:tab w:val="left" w:pos="2835"/>
              </w:tabs>
              <w:spacing w:line="276" w:lineRule="auto"/>
              <w:contextualSpacing w:val="0"/>
              <w:textboxTightWrap w:val="none"/>
              <w:cnfStyle w:val="000000010000" w:firstRow="0" w:lastRow="0" w:firstColumn="0" w:lastColumn="0" w:oddVBand="0" w:evenVBand="0" w:oddHBand="0" w:evenHBand="1" w:firstRowFirstColumn="0" w:firstRowLastColumn="0" w:lastRowFirstColumn="0" w:lastRowLastColumn="0"/>
              <w:rPr>
                <w:sz w:val="20"/>
                <w:szCs w:val="20"/>
                <w:lang w:eastAsia="en-AU"/>
              </w:rPr>
            </w:pPr>
            <w:r w:rsidRPr="009B7586">
              <w:rPr>
                <w:sz w:val="20"/>
                <w:szCs w:val="20"/>
                <w:lang w:eastAsia="en-AU"/>
              </w:rPr>
              <w:t>an incorporated association;</w:t>
            </w:r>
          </w:p>
          <w:p w14:paraId="5EEA264D" w14:textId="77777777" w:rsidR="00C91DB8" w:rsidRPr="009B7586" w:rsidRDefault="00C91DB8" w:rsidP="008B6794">
            <w:pPr>
              <w:pStyle w:val="ListParagraph"/>
              <w:numPr>
                <w:ilvl w:val="0"/>
                <w:numId w:val="22"/>
              </w:numPr>
              <w:tabs>
                <w:tab w:val="left" w:pos="1134"/>
                <w:tab w:val="left" w:pos="2835"/>
              </w:tabs>
              <w:spacing w:line="276" w:lineRule="auto"/>
              <w:contextualSpacing w:val="0"/>
              <w:textboxTightWrap w:val="none"/>
              <w:cnfStyle w:val="000000010000" w:firstRow="0" w:lastRow="0" w:firstColumn="0" w:lastColumn="0" w:oddVBand="0" w:evenVBand="0" w:oddHBand="0" w:evenHBand="1" w:firstRowFirstColumn="0" w:firstRowLastColumn="0" w:lastRowFirstColumn="0" w:lastRowLastColumn="0"/>
              <w:rPr>
                <w:sz w:val="20"/>
                <w:szCs w:val="20"/>
                <w:lang w:eastAsia="en-AU"/>
              </w:rPr>
            </w:pPr>
            <w:r w:rsidRPr="009B7586">
              <w:rPr>
                <w:sz w:val="20"/>
                <w:szCs w:val="20"/>
                <w:lang w:eastAsia="en-AU"/>
              </w:rPr>
              <w:t>a partnership;</w:t>
            </w:r>
          </w:p>
          <w:p w14:paraId="57CC2F7D" w14:textId="77777777" w:rsidR="00C91DB8" w:rsidRPr="009B7586" w:rsidRDefault="00C91DB8" w:rsidP="008B6794">
            <w:pPr>
              <w:pStyle w:val="ListParagraph"/>
              <w:numPr>
                <w:ilvl w:val="0"/>
                <w:numId w:val="22"/>
              </w:numPr>
              <w:tabs>
                <w:tab w:val="left" w:pos="1134"/>
                <w:tab w:val="left" w:pos="2835"/>
              </w:tabs>
              <w:spacing w:line="276" w:lineRule="auto"/>
              <w:contextualSpacing w:val="0"/>
              <w:textboxTightWrap w:val="none"/>
              <w:cnfStyle w:val="000000010000" w:firstRow="0" w:lastRow="0" w:firstColumn="0" w:lastColumn="0" w:oddVBand="0" w:evenVBand="0" w:oddHBand="0" w:evenHBand="1" w:firstRowFirstColumn="0" w:firstRowLastColumn="0" w:lastRowFirstColumn="0" w:lastRowLastColumn="0"/>
              <w:rPr>
                <w:sz w:val="20"/>
                <w:szCs w:val="20"/>
                <w:lang w:eastAsia="en-AU"/>
              </w:rPr>
            </w:pPr>
            <w:r w:rsidRPr="009B7586">
              <w:rPr>
                <w:sz w:val="20"/>
                <w:szCs w:val="20"/>
                <w:lang w:eastAsia="en-AU"/>
              </w:rPr>
              <w:t>a joint (consortia) application with a lead organisation;</w:t>
            </w:r>
          </w:p>
          <w:p w14:paraId="4F46AE3E" w14:textId="77777777" w:rsidR="00C91DB8" w:rsidRPr="009B7586" w:rsidRDefault="00C91DB8" w:rsidP="008B6794">
            <w:pPr>
              <w:pStyle w:val="ListParagraph"/>
              <w:numPr>
                <w:ilvl w:val="0"/>
                <w:numId w:val="22"/>
              </w:numPr>
              <w:tabs>
                <w:tab w:val="left" w:pos="1134"/>
                <w:tab w:val="left" w:pos="2835"/>
              </w:tabs>
              <w:spacing w:line="276" w:lineRule="auto"/>
              <w:contextualSpacing w:val="0"/>
              <w:textboxTightWrap w:val="none"/>
              <w:cnfStyle w:val="000000010000" w:firstRow="0" w:lastRow="0" w:firstColumn="0" w:lastColumn="0" w:oddVBand="0" w:evenVBand="0" w:oddHBand="0" w:evenHBand="1" w:firstRowFirstColumn="0" w:firstRowLastColumn="0" w:lastRowFirstColumn="0" w:lastRowLastColumn="0"/>
              <w:rPr>
                <w:sz w:val="20"/>
                <w:szCs w:val="20"/>
                <w:lang w:eastAsia="en-AU"/>
              </w:rPr>
            </w:pPr>
            <w:r w:rsidRPr="009B7586">
              <w:rPr>
                <w:sz w:val="20"/>
                <w:szCs w:val="20"/>
                <w:lang w:eastAsia="en-AU"/>
              </w:rPr>
              <w:t>a registered charity or not-for-profit organisation;</w:t>
            </w:r>
          </w:p>
          <w:p w14:paraId="65976693" w14:textId="77777777" w:rsidR="00C91DB8" w:rsidRPr="009B7586" w:rsidRDefault="00C91DB8" w:rsidP="008B6794">
            <w:pPr>
              <w:pStyle w:val="ListParagraph"/>
              <w:numPr>
                <w:ilvl w:val="0"/>
                <w:numId w:val="22"/>
              </w:numPr>
              <w:tabs>
                <w:tab w:val="left" w:pos="1134"/>
                <w:tab w:val="left" w:pos="2835"/>
              </w:tabs>
              <w:spacing w:line="276" w:lineRule="auto"/>
              <w:contextualSpacing w:val="0"/>
              <w:textboxTightWrap w:val="none"/>
              <w:cnfStyle w:val="000000010000" w:firstRow="0" w:lastRow="0" w:firstColumn="0" w:lastColumn="0" w:oddVBand="0" w:evenVBand="0" w:oddHBand="0" w:evenHBand="1" w:firstRowFirstColumn="0" w:firstRowLastColumn="0" w:lastRowFirstColumn="0" w:lastRowLastColumn="0"/>
              <w:rPr>
                <w:sz w:val="20"/>
                <w:szCs w:val="20"/>
                <w:lang w:eastAsia="en-AU"/>
              </w:rPr>
            </w:pPr>
            <w:r w:rsidRPr="009B7586">
              <w:rPr>
                <w:sz w:val="20"/>
                <w:szCs w:val="20"/>
                <w:lang w:eastAsia="en-AU"/>
              </w:rPr>
              <w:t>an Australian local government body; or</w:t>
            </w:r>
          </w:p>
          <w:p w14:paraId="7C46FE60" w14:textId="77777777" w:rsidR="00C91DB8" w:rsidRPr="009B7586" w:rsidRDefault="00C91DB8" w:rsidP="008B6794">
            <w:pPr>
              <w:pStyle w:val="ListParagraph"/>
              <w:numPr>
                <w:ilvl w:val="0"/>
                <w:numId w:val="22"/>
              </w:numPr>
              <w:tabs>
                <w:tab w:val="left" w:pos="1134"/>
                <w:tab w:val="left" w:pos="2835"/>
              </w:tabs>
              <w:spacing w:line="276" w:lineRule="auto"/>
              <w:contextualSpacing w:val="0"/>
              <w:textboxTightWrap w:val="none"/>
              <w:cnfStyle w:val="000000010000" w:firstRow="0" w:lastRow="0" w:firstColumn="0" w:lastColumn="0" w:oddVBand="0" w:evenVBand="0" w:oddHBand="0" w:evenHBand="1" w:firstRowFirstColumn="0" w:firstRowLastColumn="0" w:lastRowFirstColumn="0" w:lastRowLastColumn="0"/>
              <w:rPr>
                <w:sz w:val="20"/>
                <w:szCs w:val="20"/>
                <w:lang w:eastAsia="en-AU"/>
              </w:rPr>
            </w:pPr>
            <w:r w:rsidRPr="009B7586">
              <w:rPr>
                <w:sz w:val="20"/>
                <w:szCs w:val="20"/>
                <w:lang w:eastAsia="en-AU"/>
              </w:rPr>
              <w:t xml:space="preserve">an Aboriginal and/or Torres Strait Islander Corporation registered under the </w:t>
            </w:r>
            <w:r w:rsidRPr="009B7586">
              <w:rPr>
                <w:i/>
                <w:sz w:val="20"/>
                <w:szCs w:val="20"/>
                <w:lang w:eastAsia="en-AU"/>
              </w:rPr>
              <w:t>Corporations (Aboriginal and Torres Strait Islander) Act 2006</w:t>
            </w:r>
            <w:r w:rsidRPr="009B7586">
              <w:rPr>
                <w:sz w:val="20"/>
                <w:szCs w:val="20"/>
                <w:lang w:eastAsia="en-AU"/>
              </w:rPr>
              <w:t xml:space="preserve"> (Cth).</w:t>
            </w:r>
          </w:p>
        </w:tc>
      </w:tr>
      <w:tr w:rsidR="0085442D" w:rsidRPr="009A4977" w14:paraId="096E4F51" w14:textId="77777777" w:rsidTr="00F52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075CB47" w14:textId="04334D49" w:rsidR="0085442D" w:rsidRPr="006D7274" w:rsidRDefault="0085442D" w:rsidP="00EF393D">
            <w:pPr>
              <w:spacing w:before="120" w:after="120" w:line="276" w:lineRule="auto"/>
              <w:rPr>
                <w:b/>
                <w:bCs w:val="0"/>
                <w:sz w:val="20"/>
                <w:szCs w:val="20"/>
                <w:lang w:eastAsia="en-AU"/>
              </w:rPr>
            </w:pPr>
            <w:r w:rsidRPr="006D7274">
              <w:rPr>
                <w:b/>
                <w:bCs w:val="0"/>
                <w:sz w:val="20"/>
                <w:szCs w:val="20"/>
                <w:lang w:eastAsia="en-AU"/>
              </w:rPr>
              <w:t>Consortia applications</w:t>
            </w:r>
          </w:p>
        </w:tc>
        <w:tc>
          <w:tcPr>
            <w:tcW w:w="6434" w:type="dxa"/>
          </w:tcPr>
          <w:p w14:paraId="520448EB" w14:textId="2813F567" w:rsidR="0085442D" w:rsidRPr="009B7586" w:rsidRDefault="00F52A5F" w:rsidP="00755A58">
            <w:pPr>
              <w:tabs>
                <w:tab w:val="left" w:pos="1134"/>
                <w:tab w:val="left" w:pos="2835"/>
              </w:tabs>
              <w:spacing w:before="120" w:after="120" w:line="276"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9B7586">
              <w:rPr>
                <w:sz w:val="20"/>
                <w:szCs w:val="20"/>
                <w:lang w:eastAsia="en-AU"/>
              </w:rPr>
              <w:t>It is recogni</w:t>
            </w:r>
            <w:r w:rsidR="00EF393D" w:rsidRPr="009B7586">
              <w:rPr>
                <w:sz w:val="20"/>
                <w:szCs w:val="20"/>
                <w:lang w:eastAsia="en-AU"/>
              </w:rPr>
              <w:t>s</w:t>
            </w:r>
            <w:r w:rsidRPr="009B7586">
              <w:rPr>
                <w:sz w:val="20"/>
                <w:szCs w:val="20"/>
                <w:lang w:eastAsia="en-AU"/>
              </w:rPr>
              <w:t xml:space="preserve">ed that in delivering medical workforce initiatives, some </w:t>
            </w:r>
            <w:r w:rsidR="00090524" w:rsidRPr="009B7586">
              <w:rPr>
                <w:sz w:val="20"/>
                <w:szCs w:val="20"/>
                <w:lang w:eastAsia="en-AU"/>
              </w:rPr>
              <w:t>organisations</w:t>
            </w:r>
            <w:r w:rsidRPr="009B7586">
              <w:rPr>
                <w:sz w:val="20"/>
                <w:szCs w:val="20"/>
                <w:lang w:eastAsia="en-AU"/>
              </w:rPr>
              <w:t xml:space="preserve"> will need to make a </w:t>
            </w:r>
            <w:r w:rsidR="00EF393D" w:rsidRPr="009B7586">
              <w:rPr>
                <w:sz w:val="20"/>
                <w:szCs w:val="20"/>
                <w:lang w:eastAsia="en-AU"/>
              </w:rPr>
              <w:t>consortia</w:t>
            </w:r>
            <w:r w:rsidRPr="009B7586">
              <w:rPr>
                <w:sz w:val="20"/>
                <w:szCs w:val="20"/>
                <w:lang w:eastAsia="en-AU"/>
              </w:rPr>
              <w:t xml:space="preserve"> application, particularly those in regions where a public and/or private hospital cannot provide requisite training. In such cases, the nominated lead entity must meet the above eligibility criteria and submit an application on behalf of the consortium that clearly identifies all other consortium members</w:t>
            </w:r>
            <w:r w:rsidR="00EF393D" w:rsidRPr="009B7586">
              <w:rPr>
                <w:sz w:val="20"/>
                <w:szCs w:val="20"/>
                <w:lang w:eastAsia="en-AU"/>
              </w:rPr>
              <w:t xml:space="preserve"> and includes</w:t>
            </w:r>
            <w:r w:rsidRPr="009B7586">
              <w:rPr>
                <w:sz w:val="20"/>
                <w:szCs w:val="20"/>
                <w:lang w:eastAsia="en-AU"/>
              </w:rPr>
              <w:t xml:space="preserve"> letters of support from each member.</w:t>
            </w:r>
          </w:p>
        </w:tc>
      </w:tr>
      <w:tr w:rsidR="003D15AC" w:rsidRPr="009A4977" w14:paraId="2961D3E0" w14:textId="77777777" w:rsidTr="00F52A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89091B2" w14:textId="182FF46F" w:rsidR="003D15AC" w:rsidRPr="006D7274" w:rsidRDefault="003D15AC" w:rsidP="00EF393D">
            <w:pPr>
              <w:spacing w:before="120" w:after="120"/>
              <w:rPr>
                <w:b/>
                <w:sz w:val="20"/>
                <w:szCs w:val="20"/>
                <w:lang w:eastAsia="en-AU"/>
              </w:rPr>
            </w:pPr>
            <w:r>
              <w:rPr>
                <w:b/>
                <w:sz w:val="20"/>
                <w:szCs w:val="20"/>
                <w:lang w:eastAsia="en-AU"/>
              </w:rPr>
              <w:t>Exclusions</w:t>
            </w:r>
          </w:p>
        </w:tc>
        <w:tc>
          <w:tcPr>
            <w:tcW w:w="6434" w:type="dxa"/>
          </w:tcPr>
          <w:p w14:paraId="1D322FD6" w14:textId="0FCC38EF" w:rsidR="003D15AC" w:rsidRPr="009B7586" w:rsidRDefault="00F12452" w:rsidP="000D359C">
            <w:pPr>
              <w:tabs>
                <w:tab w:val="left" w:pos="1134"/>
                <w:tab w:val="left" w:pos="2835"/>
              </w:tabs>
              <w:spacing w:before="120" w:after="120" w:line="276" w:lineRule="auto"/>
              <w:cnfStyle w:val="000000010000" w:firstRow="0" w:lastRow="0" w:firstColumn="0" w:lastColumn="0" w:oddVBand="0" w:evenVBand="0" w:oddHBand="0" w:evenHBand="1" w:firstRowFirstColumn="0" w:firstRowLastColumn="0" w:lastRowFirstColumn="0" w:lastRowLastColumn="0"/>
              <w:rPr>
                <w:sz w:val="20"/>
                <w:szCs w:val="20"/>
                <w:lang w:eastAsia="en-AU"/>
              </w:rPr>
            </w:pPr>
            <w:r>
              <w:rPr>
                <w:sz w:val="20"/>
                <w:szCs w:val="20"/>
                <w:lang w:eastAsia="en-AU"/>
              </w:rPr>
              <w:t xml:space="preserve">Applicants who are currently receiving funding from </w:t>
            </w:r>
            <w:r w:rsidR="000D359C">
              <w:rPr>
                <w:sz w:val="20"/>
                <w:szCs w:val="20"/>
                <w:lang w:eastAsia="en-AU"/>
              </w:rPr>
              <w:t>an alternate</w:t>
            </w:r>
            <w:r>
              <w:rPr>
                <w:sz w:val="20"/>
                <w:szCs w:val="20"/>
                <w:lang w:eastAsia="en-AU"/>
              </w:rPr>
              <w:t xml:space="preserve"> funding source (e.g. Australian Government or State Government) for the same activity/</w:t>
            </w:r>
            <w:r w:rsidR="000D359C">
              <w:rPr>
                <w:sz w:val="20"/>
                <w:szCs w:val="20"/>
                <w:lang w:eastAsia="en-AU"/>
              </w:rPr>
              <w:t>project</w:t>
            </w:r>
            <w:r>
              <w:rPr>
                <w:sz w:val="20"/>
                <w:szCs w:val="20"/>
                <w:lang w:eastAsia="en-AU"/>
              </w:rPr>
              <w:t xml:space="preserve"> are ineligible for funding under the MPWP4Q. </w:t>
            </w:r>
          </w:p>
        </w:tc>
      </w:tr>
    </w:tbl>
    <w:p w14:paraId="2EB22A38" w14:textId="77777777" w:rsidR="00C91DB8" w:rsidRDefault="00C91DB8" w:rsidP="00E577BD">
      <w:pPr>
        <w:rPr>
          <w:lang w:val="en-AU"/>
        </w:rPr>
      </w:pPr>
    </w:p>
    <w:p w14:paraId="5EBB91C9" w14:textId="25D20336" w:rsidR="00F12452" w:rsidRDefault="00F12452">
      <w:pPr>
        <w:rPr>
          <w:rFonts w:eastAsiaTheme="majorEastAsia" w:cstheme="majorBidi"/>
          <w:b/>
          <w:bCs/>
          <w:color w:val="0F5CA2" w:themeColor="accent1"/>
          <w:kern w:val="21"/>
          <w:sz w:val="32"/>
          <w:szCs w:val="32"/>
          <w:lang w:val="en-AU" w:eastAsia="en-AU"/>
          <w14:numSpacing w14:val="proportional"/>
        </w:rPr>
      </w:pPr>
      <w:r>
        <w:rPr>
          <w:b/>
          <w:bCs/>
          <w:sz w:val="32"/>
          <w:szCs w:val="32"/>
        </w:rPr>
        <w:br w:type="page"/>
      </w:r>
    </w:p>
    <w:p w14:paraId="3734734A" w14:textId="36AEFC34" w:rsidR="00F47A7F" w:rsidRPr="00EF393D" w:rsidRDefault="00F47A7F" w:rsidP="00F47A7F">
      <w:pPr>
        <w:pStyle w:val="Heading2"/>
        <w:rPr>
          <w:b/>
          <w:bCs/>
          <w:sz w:val="32"/>
          <w:szCs w:val="32"/>
        </w:rPr>
      </w:pPr>
      <w:r w:rsidRPr="00EF393D">
        <w:rPr>
          <w:b/>
          <w:bCs/>
          <w:sz w:val="32"/>
          <w:szCs w:val="32"/>
        </w:rPr>
        <w:t>Funding uses</w:t>
      </w:r>
    </w:p>
    <w:p w14:paraId="7237B579" w14:textId="77777777" w:rsidR="00F47A7F" w:rsidRPr="00F651BE" w:rsidRDefault="00F47A7F" w:rsidP="00F47A7F">
      <w:pPr>
        <w:spacing w:before="120" w:after="120"/>
      </w:pPr>
      <w:r>
        <w:t>Please refer to the following table for activities that are eligible and not eligible for funding. The</w:t>
      </w:r>
      <w:r w:rsidRPr="00F651BE">
        <w:t xml:space="preserve"> </w:t>
      </w:r>
      <w:r>
        <w:t>Deputy Director-General, Clinical Planning and Service Strategy Division, Department of Health</w:t>
      </w:r>
      <w:r w:rsidRPr="00F651BE">
        <w:t xml:space="preserve"> is the </w:t>
      </w:r>
      <w:r>
        <w:t>final</w:t>
      </w:r>
      <w:r w:rsidRPr="00F651BE">
        <w:t xml:space="preserve"> decision maker for determining what </w:t>
      </w:r>
      <w:r>
        <w:t>may be</w:t>
      </w:r>
      <w:r w:rsidRPr="00F651BE">
        <w:t xml:space="preserve"> considered eligible expenditure. </w:t>
      </w:r>
    </w:p>
    <w:tbl>
      <w:tblPr>
        <w:tblStyle w:val="GridTable5Dark-Accent1"/>
        <w:tblW w:w="0" w:type="auto"/>
        <w:tblLook w:val="04A0" w:firstRow="1" w:lastRow="0" w:firstColumn="1" w:lastColumn="0" w:noHBand="0" w:noVBand="1"/>
      </w:tblPr>
      <w:tblGrid>
        <w:gridCol w:w="1701"/>
        <w:gridCol w:w="7143"/>
      </w:tblGrid>
      <w:tr w:rsidR="00F47A7F" w14:paraId="0B38C4AF" w14:textId="77777777" w:rsidTr="00FB61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shd w:val="clear" w:color="auto" w:fill="0F5CA2" w:themeFill="accent1"/>
          </w:tcPr>
          <w:p w14:paraId="5E39C9C2" w14:textId="77777777" w:rsidR="00F47A7F" w:rsidRPr="006D7274" w:rsidRDefault="00F47A7F" w:rsidP="00FB61E5">
            <w:pPr>
              <w:spacing w:before="120" w:after="120"/>
              <w:rPr>
                <w:b/>
                <w:bCs w:val="0"/>
                <w:sz w:val="20"/>
                <w:szCs w:val="20"/>
                <w:lang w:eastAsia="en-AU"/>
              </w:rPr>
            </w:pPr>
            <w:r w:rsidRPr="006D7274">
              <w:rPr>
                <w:rFonts w:ascii="Fira Sans" w:hAnsi="Fira Sans"/>
                <w:b/>
                <w:bCs w:val="0"/>
                <w:color w:val="FFFFFF" w:themeColor="background1"/>
                <w:sz w:val="20"/>
                <w:szCs w:val="20"/>
                <w:lang w:eastAsia="en-AU"/>
              </w:rPr>
              <w:t xml:space="preserve">Eligible </w:t>
            </w:r>
          </w:p>
        </w:tc>
        <w:tc>
          <w:tcPr>
            <w:tcW w:w="7143" w:type="dxa"/>
            <w:shd w:val="clear" w:color="auto" w:fill="F2F2F2" w:themeFill="background1" w:themeFillShade="F2"/>
          </w:tcPr>
          <w:p w14:paraId="69FDF968"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100000000000" w:firstRow="1" w:lastRow="0" w:firstColumn="0" w:lastColumn="0" w:oddVBand="0" w:evenVBand="0" w:oddHBand="0" w:evenHBand="0" w:firstRowFirstColumn="0" w:firstRowLastColumn="0" w:lastRowFirstColumn="0" w:lastRowLastColumn="0"/>
              <w:rPr>
                <w:rFonts w:ascii="Fira Sans" w:hAnsi="Fira Sans"/>
                <w:bCs w:val="0"/>
                <w:color w:val="3A3E3E" w:themeColor="background2" w:themeShade="40"/>
                <w:sz w:val="20"/>
                <w:szCs w:val="20"/>
                <w:lang w:eastAsia="en-AU"/>
              </w:rPr>
            </w:pPr>
            <w:r w:rsidRPr="006D7274">
              <w:rPr>
                <w:rFonts w:ascii="Fira Sans" w:hAnsi="Fira Sans"/>
                <w:bCs w:val="0"/>
                <w:color w:val="3A3E3E" w:themeColor="background2" w:themeShade="40"/>
                <w:sz w:val="20"/>
                <w:szCs w:val="20"/>
                <w:lang w:eastAsia="en-AU"/>
              </w:rPr>
              <w:t>Salaries and related costs of professional and administrative support staff to deliver the proposed activities.</w:t>
            </w:r>
          </w:p>
          <w:p w14:paraId="4F55F421"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100000000000" w:firstRow="1" w:lastRow="0" w:firstColumn="0" w:lastColumn="0" w:oddVBand="0" w:evenVBand="0" w:oddHBand="0" w:evenHBand="0" w:firstRowFirstColumn="0" w:firstRowLastColumn="0" w:lastRowFirstColumn="0" w:lastRowLastColumn="0"/>
              <w:rPr>
                <w:rFonts w:ascii="Fira Sans" w:hAnsi="Fira Sans"/>
                <w:bCs w:val="0"/>
                <w:color w:val="3A3E3E" w:themeColor="background2" w:themeShade="40"/>
                <w:sz w:val="20"/>
                <w:szCs w:val="20"/>
                <w:lang w:eastAsia="en-AU"/>
              </w:rPr>
            </w:pPr>
            <w:r w:rsidRPr="006D7274">
              <w:rPr>
                <w:rFonts w:ascii="Fira Sans" w:hAnsi="Fira Sans"/>
                <w:bCs w:val="0"/>
                <w:color w:val="3A3E3E" w:themeColor="background2" w:themeShade="40"/>
                <w:sz w:val="20"/>
                <w:szCs w:val="20"/>
                <w:lang w:eastAsia="en-AU"/>
              </w:rPr>
              <w:t>Administration and management functions integral to the support and overall achievement of the proposed objectives and outcomes.</w:t>
            </w:r>
          </w:p>
          <w:p w14:paraId="2F837EAA"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100000000000" w:firstRow="1" w:lastRow="0" w:firstColumn="0" w:lastColumn="0" w:oddVBand="0" w:evenVBand="0" w:oddHBand="0" w:evenHBand="0" w:firstRowFirstColumn="0" w:firstRowLastColumn="0" w:lastRowFirstColumn="0" w:lastRowLastColumn="0"/>
              <w:rPr>
                <w:rFonts w:ascii="Fira Sans" w:hAnsi="Fira Sans"/>
                <w:bCs w:val="0"/>
                <w:color w:val="3A3E3E" w:themeColor="background2" w:themeShade="40"/>
                <w:sz w:val="20"/>
                <w:szCs w:val="20"/>
                <w:lang w:eastAsia="en-AU"/>
              </w:rPr>
            </w:pPr>
            <w:r w:rsidRPr="006D7274">
              <w:rPr>
                <w:rFonts w:ascii="Fira Sans" w:hAnsi="Fira Sans"/>
                <w:bCs w:val="0"/>
                <w:color w:val="3A3E3E" w:themeColor="background2" w:themeShade="40"/>
                <w:sz w:val="20"/>
                <w:szCs w:val="20"/>
                <w:lang w:eastAsia="en-AU"/>
              </w:rPr>
              <w:t>Data and reporting activities as outlined in this document.</w:t>
            </w:r>
          </w:p>
          <w:p w14:paraId="629F1014"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100000000000" w:firstRow="1" w:lastRow="0" w:firstColumn="0" w:lastColumn="0" w:oddVBand="0" w:evenVBand="0" w:oddHBand="0" w:evenHBand="0" w:firstRowFirstColumn="0" w:firstRowLastColumn="0" w:lastRowFirstColumn="0" w:lastRowLastColumn="0"/>
              <w:rPr>
                <w:rFonts w:ascii="Fira Sans" w:hAnsi="Fira Sans"/>
                <w:bCs w:val="0"/>
                <w:color w:val="3A3E3E" w:themeColor="background2" w:themeShade="40"/>
                <w:sz w:val="20"/>
                <w:szCs w:val="20"/>
                <w:lang w:eastAsia="en-AU"/>
              </w:rPr>
            </w:pPr>
            <w:r w:rsidRPr="006D7274">
              <w:rPr>
                <w:rFonts w:ascii="Fira Sans" w:hAnsi="Fira Sans"/>
                <w:bCs w:val="0"/>
                <w:color w:val="3A3E3E" w:themeColor="background2" w:themeShade="40"/>
                <w:sz w:val="20"/>
                <w:szCs w:val="20"/>
                <w:lang w:eastAsia="en-AU"/>
              </w:rPr>
              <w:t xml:space="preserve">Business processes to support delivery of the </w:t>
            </w:r>
            <w:r>
              <w:rPr>
                <w:rFonts w:ascii="Fira Sans" w:hAnsi="Fira Sans"/>
                <w:bCs w:val="0"/>
                <w:color w:val="3A3E3E" w:themeColor="background2" w:themeShade="40"/>
                <w:sz w:val="20"/>
                <w:szCs w:val="20"/>
                <w:lang w:eastAsia="en-AU"/>
              </w:rPr>
              <w:t>funding allocation</w:t>
            </w:r>
            <w:r w:rsidRPr="006D7274">
              <w:rPr>
                <w:rFonts w:ascii="Fira Sans" w:hAnsi="Fira Sans"/>
                <w:bCs w:val="0"/>
                <w:color w:val="3A3E3E" w:themeColor="background2" w:themeShade="40"/>
                <w:sz w:val="20"/>
                <w:szCs w:val="20"/>
                <w:lang w:eastAsia="en-AU"/>
              </w:rPr>
              <w:t xml:space="preserve"> (development of operational and administrative guidelines, surveys, and data and reporting activities).</w:t>
            </w:r>
          </w:p>
        </w:tc>
      </w:tr>
      <w:tr w:rsidR="00F47A7F" w14:paraId="5FB7FF0A" w14:textId="77777777" w:rsidTr="00FB6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BDE12E4" w14:textId="77777777" w:rsidR="00F47A7F" w:rsidRPr="006D7274" w:rsidRDefault="00F47A7F" w:rsidP="00FB61E5">
            <w:pPr>
              <w:spacing w:before="120" w:after="120"/>
              <w:rPr>
                <w:b/>
                <w:bCs w:val="0"/>
                <w:sz w:val="20"/>
                <w:szCs w:val="20"/>
                <w:lang w:eastAsia="en-AU"/>
              </w:rPr>
            </w:pPr>
            <w:r w:rsidRPr="006D7274">
              <w:rPr>
                <w:b/>
                <w:bCs w:val="0"/>
                <w:sz w:val="20"/>
                <w:szCs w:val="20"/>
                <w:lang w:eastAsia="en-AU"/>
              </w:rPr>
              <w:t>Not eligible</w:t>
            </w:r>
          </w:p>
        </w:tc>
        <w:tc>
          <w:tcPr>
            <w:tcW w:w="7143" w:type="dxa"/>
          </w:tcPr>
          <w:p w14:paraId="318779D7"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 xml:space="preserve">Activities that are not agreed to by the Department of Health prior to execution of funding </w:t>
            </w:r>
            <w:r>
              <w:rPr>
                <w:sz w:val="20"/>
                <w:szCs w:val="20"/>
                <w:lang w:eastAsia="en-AU"/>
              </w:rPr>
              <w:t>agreements</w:t>
            </w:r>
            <w:r w:rsidRPr="006D7274">
              <w:rPr>
                <w:sz w:val="20"/>
                <w:szCs w:val="20"/>
                <w:lang w:eastAsia="en-AU"/>
              </w:rPr>
              <w:t>.</w:t>
            </w:r>
          </w:p>
          <w:p w14:paraId="3559EBBF"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Activities that are already funded on an ongoing basis by other Australian, State or Local Government programs.</w:t>
            </w:r>
          </w:p>
          <w:p w14:paraId="55B5D288"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Projects where the purchase of information systems is the main component of the project.</w:t>
            </w:r>
          </w:p>
          <w:p w14:paraId="3B5A8492"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Purchase of any equipment.</w:t>
            </w:r>
          </w:p>
          <w:p w14:paraId="1A9CB4BA"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Activities outside of Queensland and Australia.</w:t>
            </w:r>
          </w:p>
          <w:p w14:paraId="08CDF554"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Activities which support political campaigns.</w:t>
            </w:r>
          </w:p>
          <w:p w14:paraId="60493C01"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Purchase of land or premises.</w:t>
            </w:r>
          </w:p>
          <w:p w14:paraId="748FDDCF"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Capital expenditure.</w:t>
            </w:r>
          </w:p>
          <w:p w14:paraId="4E3D3A2C"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Construction/capital works.</w:t>
            </w:r>
          </w:p>
          <w:p w14:paraId="1DED7A16"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The covering of retrospective costs.</w:t>
            </w:r>
          </w:p>
          <w:p w14:paraId="3A715823"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Costs incurred in the preparation of a funding application or related documentation.</w:t>
            </w:r>
          </w:p>
          <w:p w14:paraId="294F0EC2"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Ongoing operational costs such as electricity, telephone, and rent.</w:t>
            </w:r>
          </w:p>
          <w:p w14:paraId="58F5EC5C"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Ongoing annual fees for the use of computer software.</w:t>
            </w:r>
          </w:p>
          <w:p w14:paraId="6D7974FD"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The purchase of consumables.</w:t>
            </w:r>
          </w:p>
          <w:p w14:paraId="6789F981"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Leasing or purchasing of medical devices.</w:t>
            </w:r>
          </w:p>
          <w:p w14:paraId="3335C3C6"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Purchasing or leasing of motor vehicles.</w:t>
            </w:r>
          </w:p>
          <w:p w14:paraId="30A44AB6"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Tax liabilities associated with the receipt of receiving funding.</w:t>
            </w:r>
          </w:p>
          <w:p w14:paraId="29D30268"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Travel and accommodation costs associated with recruiting staff.</w:t>
            </w:r>
          </w:p>
          <w:p w14:paraId="1F1024E7"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Overseas travel.</w:t>
            </w:r>
          </w:p>
          <w:p w14:paraId="49647295"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Elective surgery and outpatient funding.</w:t>
            </w:r>
          </w:p>
          <w:p w14:paraId="2D8C8E9A"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Clinical trials.</w:t>
            </w:r>
          </w:p>
          <w:p w14:paraId="044786EF"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Re-current positions or non-sustainable initiatives.</w:t>
            </w:r>
          </w:p>
          <w:p w14:paraId="47104242" w14:textId="77777777" w:rsidR="00F47A7F" w:rsidRPr="00FB61E5"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Conference registration fees or costs associated with attendance at conferences.</w:t>
            </w:r>
          </w:p>
          <w:p w14:paraId="55CACA19" w14:textId="77777777" w:rsidR="00F47A7F" w:rsidRPr="006D7274" w:rsidRDefault="00F47A7F" w:rsidP="00FB61E5">
            <w:pPr>
              <w:pStyle w:val="ListParagraph"/>
              <w:numPr>
                <w:ilvl w:val="0"/>
                <w:numId w:val="15"/>
              </w:numPr>
              <w:tabs>
                <w:tab w:val="left" w:pos="1134"/>
                <w:tab w:val="left" w:pos="2835"/>
              </w:tabs>
              <w:spacing w:line="276" w:lineRule="auto"/>
              <w:ind w:left="357" w:hanging="357"/>
              <w:jc w:val="both"/>
              <w:textboxTightWrap w:val="none"/>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Any other incentive allowance where the current certified agreement or award already makes a provision for payment.</w:t>
            </w:r>
          </w:p>
        </w:tc>
      </w:tr>
    </w:tbl>
    <w:p w14:paraId="3C59A590" w14:textId="3C57CFD4" w:rsidR="00495AE1" w:rsidRDefault="00495AE1" w:rsidP="00495AE1">
      <w:pPr>
        <w:pStyle w:val="Heading2"/>
        <w:rPr>
          <w:b/>
          <w:bCs/>
          <w:sz w:val="32"/>
          <w:szCs w:val="32"/>
        </w:rPr>
      </w:pPr>
      <w:r w:rsidRPr="00EF393D">
        <w:rPr>
          <w:b/>
          <w:bCs/>
          <w:sz w:val="32"/>
          <w:szCs w:val="32"/>
        </w:rPr>
        <w:t>Funding principles</w:t>
      </w:r>
    </w:p>
    <w:p w14:paraId="36B60B1B" w14:textId="77777777" w:rsidR="00371F9A" w:rsidRDefault="007D793C">
      <w:pPr>
        <w:pStyle w:val="BodyText"/>
        <w:rPr>
          <w:lang w:eastAsia="en-AU"/>
        </w:rPr>
      </w:pPr>
      <w:r>
        <w:rPr>
          <w:lang w:eastAsia="en-AU"/>
        </w:rPr>
        <w:t xml:space="preserve">Applications for funding must align with the </w:t>
      </w:r>
      <w:r w:rsidR="00EB590D">
        <w:rPr>
          <w:lang w:eastAsia="en-AU"/>
        </w:rPr>
        <w:t xml:space="preserve">following </w:t>
      </w:r>
      <w:r>
        <w:rPr>
          <w:lang w:eastAsia="en-AU"/>
        </w:rPr>
        <w:t>strategic priorities and objectives</w:t>
      </w:r>
      <w:r w:rsidR="009C7746">
        <w:rPr>
          <w:lang w:eastAsia="en-AU"/>
        </w:rPr>
        <w:t xml:space="preserve"> detailed in the MPWP4Q</w:t>
      </w:r>
      <w:r>
        <w:rPr>
          <w:lang w:eastAsia="en-AU"/>
        </w:rPr>
        <w:t xml:space="preserve">. </w:t>
      </w:r>
    </w:p>
    <w:p w14:paraId="3B7D8803" w14:textId="48A7AAB3" w:rsidR="00371F9A" w:rsidRDefault="00371F9A">
      <w:pPr>
        <w:pStyle w:val="BodyText"/>
        <w:rPr>
          <w:lang w:eastAsia="en-AU"/>
        </w:rPr>
      </w:pPr>
      <w:r>
        <w:rPr>
          <w:lang w:eastAsia="en-AU"/>
        </w:rPr>
        <w:t xml:space="preserve">Please see the assessment criteria for details about how applications will be assessed based on alignment with the MPWP4Q strategic priorities and objectives. </w:t>
      </w:r>
    </w:p>
    <w:tbl>
      <w:tblPr>
        <w:tblStyle w:val="GridTable5Dark-Accent1"/>
        <w:tblW w:w="0" w:type="auto"/>
        <w:tblLook w:val="04A0" w:firstRow="1" w:lastRow="0" w:firstColumn="1" w:lastColumn="0" w:noHBand="0" w:noVBand="1"/>
      </w:tblPr>
      <w:tblGrid>
        <w:gridCol w:w="3119"/>
        <w:gridCol w:w="5245"/>
      </w:tblGrid>
      <w:tr w:rsidR="00C94634" w:rsidRPr="006F3C56" w14:paraId="2CE52954" w14:textId="77777777" w:rsidTr="00314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shd w:val="clear" w:color="auto" w:fill="0B4479" w:themeFill="accent1" w:themeFillShade="BF"/>
          </w:tcPr>
          <w:p w14:paraId="0E6A8FD0" w14:textId="7F0331CC" w:rsidR="00C94634" w:rsidRPr="00314D78" w:rsidRDefault="00C94634" w:rsidP="009963C0">
            <w:pPr>
              <w:spacing w:before="120" w:after="120" w:line="276" w:lineRule="auto"/>
              <w:jc w:val="both"/>
              <w:rPr>
                <w:rFonts w:ascii="Fira Sans" w:hAnsi="Fira Sans"/>
                <w:b/>
                <w:bCs w:val="0"/>
                <w:sz w:val="20"/>
                <w:szCs w:val="20"/>
                <w:lang w:eastAsia="en-AU"/>
              </w:rPr>
            </w:pPr>
            <w:r w:rsidRPr="00314D78">
              <w:rPr>
                <w:b/>
                <w:color w:val="FFFFFF" w:themeColor="background1"/>
                <w:sz w:val="20"/>
                <w:szCs w:val="20"/>
                <w:lang w:eastAsia="en-AU"/>
              </w:rPr>
              <w:t xml:space="preserve">Strategic priorities </w:t>
            </w:r>
          </w:p>
        </w:tc>
        <w:tc>
          <w:tcPr>
            <w:tcW w:w="0" w:type="dxa"/>
          </w:tcPr>
          <w:p w14:paraId="291BDC74" w14:textId="375F4A32" w:rsidR="00C94634" w:rsidRPr="006D7274" w:rsidRDefault="00C94634" w:rsidP="009963C0">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Fira Sans" w:hAnsi="Fira Sans"/>
                <w:b/>
                <w:bCs w:val="0"/>
                <w:sz w:val="20"/>
                <w:szCs w:val="20"/>
                <w:lang w:eastAsia="en-AU"/>
              </w:rPr>
            </w:pPr>
            <w:r>
              <w:rPr>
                <w:rFonts w:ascii="Fira Sans" w:hAnsi="Fira Sans"/>
                <w:b/>
                <w:bCs w:val="0"/>
                <w:sz w:val="20"/>
                <w:szCs w:val="20"/>
                <w:lang w:eastAsia="en-AU"/>
              </w:rPr>
              <w:t>Objectives of the MPWP4Q</w:t>
            </w:r>
          </w:p>
        </w:tc>
      </w:tr>
      <w:tr w:rsidR="00C94634" w:rsidRPr="006F3C56" w14:paraId="3121BF3A" w14:textId="77777777" w:rsidTr="00C94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E6F5786" w14:textId="6DE4C734" w:rsidR="00C94634" w:rsidRPr="009C7746" w:rsidRDefault="00C94634">
            <w:pPr>
              <w:spacing w:before="120" w:after="120" w:line="276" w:lineRule="auto"/>
              <w:rPr>
                <w:b/>
                <w:bCs w:val="0"/>
                <w:sz w:val="20"/>
                <w:szCs w:val="20"/>
                <w:lang w:eastAsia="en-AU"/>
              </w:rPr>
            </w:pPr>
            <w:r w:rsidRPr="009C7746">
              <w:rPr>
                <w:b/>
                <w:sz w:val="20"/>
                <w:szCs w:val="20"/>
                <w:lang w:eastAsia="en-AU"/>
              </w:rPr>
              <w:t xml:space="preserve">Priority areas </w:t>
            </w:r>
          </w:p>
        </w:tc>
        <w:tc>
          <w:tcPr>
            <w:tcW w:w="5245" w:type="dxa"/>
          </w:tcPr>
          <w:p w14:paraId="407DB1FB" w14:textId="21860764" w:rsidR="00C94634" w:rsidRPr="00F675B0" w:rsidRDefault="00C94634" w:rsidP="00314D78">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color w:val="3A3E3E" w:themeColor="background2" w:themeShade="40"/>
                <w:sz w:val="20"/>
                <w:szCs w:val="20"/>
              </w:rPr>
            </w:pPr>
            <w:r w:rsidRPr="00F675B0">
              <w:rPr>
                <w:i/>
                <w:color w:val="3A3E3E" w:themeColor="background2" w:themeShade="40"/>
                <w:sz w:val="20"/>
                <w:lang w:eastAsia="en-AU"/>
              </w:rPr>
              <w:t>Invest in and support specialist workforces which are currently in</w:t>
            </w:r>
            <w:r w:rsidR="00D830D9">
              <w:rPr>
                <w:i/>
                <w:color w:val="3A3E3E" w:themeColor="background2" w:themeShade="40"/>
                <w:sz w:val="20"/>
                <w:lang w:eastAsia="en-AU"/>
              </w:rPr>
              <w:t>,</w:t>
            </w:r>
            <w:r w:rsidRPr="00F675B0">
              <w:rPr>
                <w:i/>
                <w:color w:val="3A3E3E" w:themeColor="background2" w:themeShade="40"/>
                <w:sz w:val="20"/>
                <w:lang w:eastAsia="en-AU"/>
              </w:rPr>
              <w:t xml:space="preserve"> or at risk of</w:t>
            </w:r>
            <w:r w:rsidR="00D830D9">
              <w:rPr>
                <w:i/>
                <w:color w:val="3A3E3E" w:themeColor="background2" w:themeShade="40"/>
                <w:sz w:val="20"/>
                <w:lang w:eastAsia="en-AU"/>
              </w:rPr>
              <w:t>,</w:t>
            </w:r>
            <w:r w:rsidRPr="00F675B0">
              <w:rPr>
                <w:i/>
                <w:color w:val="3A3E3E" w:themeColor="background2" w:themeShade="40"/>
                <w:sz w:val="20"/>
                <w:lang w:eastAsia="en-AU"/>
              </w:rPr>
              <w:t xml:space="preserve"> shortage</w:t>
            </w:r>
            <w:r w:rsidR="00B0651A">
              <w:rPr>
                <w:i/>
                <w:color w:val="3A3E3E" w:themeColor="background2" w:themeShade="40"/>
                <w:sz w:val="20"/>
                <w:lang w:eastAsia="en-AU"/>
              </w:rPr>
              <w:t>.</w:t>
            </w:r>
          </w:p>
        </w:tc>
      </w:tr>
      <w:tr w:rsidR="00C94634" w:rsidRPr="006F3C56" w14:paraId="32D8B2D1" w14:textId="77777777" w:rsidTr="00C94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6B1F420" w14:textId="145A4C90" w:rsidR="00C94634" w:rsidRPr="009C7746" w:rsidRDefault="00C94634">
            <w:pPr>
              <w:spacing w:before="120" w:after="120" w:line="276" w:lineRule="auto"/>
              <w:rPr>
                <w:b/>
                <w:bCs w:val="0"/>
                <w:sz w:val="20"/>
                <w:szCs w:val="20"/>
                <w:lang w:eastAsia="en-AU"/>
              </w:rPr>
            </w:pPr>
            <w:r w:rsidRPr="00314D78">
              <w:rPr>
                <w:b/>
                <w:sz w:val="20"/>
                <w:lang w:eastAsia="en-AU"/>
              </w:rPr>
              <w:t>Shared data collection and analysis</w:t>
            </w:r>
          </w:p>
        </w:tc>
        <w:tc>
          <w:tcPr>
            <w:tcW w:w="5245" w:type="dxa"/>
          </w:tcPr>
          <w:p w14:paraId="23EF6A96" w14:textId="1E8AB211" w:rsidR="00C94634" w:rsidRPr="00F675B0" w:rsidRDefault="00C94634" w:rsidP="00314D78">
            <w:pPr>
              <w:pStyle w:val="Default"/>
              <w:spacing w:before="120" w:after="120" w:line="276" w:lineRule="auto"/>
              <w:cnfStyle w:val="000000010000" w:firstRow="0" w:lastRow="0" w:firstColumn="0" w:lastColumn="0" w:oddVBand="0" w:evenVBand="0" w:oddHBand="0" w:evenHBand="1" w:firstRowFirstColumn="0" w:firstRowLastColumn="0" w:lastRowFirstColumn="0" w:lastRowLastColumn="0"/>
              <w:rPr>
                <w:color w:val="3A3E3E" w:themeColor="background2" w:themeShade="40"/>
                <w:sz w:val="20"/>
                <w:szCs w:val="20"/>
              </w:rPr>
            </w:pPr>
            <w:r w:rsidRPr="00F675B0">
              <w:rPr>
                <w:i/>
                <w:color w:val="3A3E3E" w:themeColor="background2" w:themeShade="40"/>
                <w:sz w:val="20"/>
                <w:lang w:eastAsia="en-AU"/>
              </w:rPr>
              <w:t>Enhance collaboration to enable shared identification and understanding of challenges that will need to be addressed by multi-faceted solutions.</w:t>
            </w:r>
          </w:p>
        </w:tc>
      </w:tr>
      <w:tr w:rsidR="00C94634" w:rsidRPr="006F3C56" w14:paraId="449E5326" w14:textId="77777777" w:rsidTr="00C94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E50C9DA" w14:textId="20FAA54A" w:rsidR="00C94634" w:rsidRPr="009C7746" w:rsidRDefault="00C94634">
            <w:pPr>
              <w:spacing w:before="120" w:after="120" w:line="276" w:lineRule="auto"/>
              <w:rPr>
                <w:b/>
                <w:bCs w:val="0"/>
                <w:sz w:val="20"/>
                <w:szCs w:val="20"/>
                <w:lang w:eastAsia="en-AU"/>
              </w:rPr>
            </w:pPr>
            <w:r w:rsidRPr="00314D78">
              <w:rPr>
                <w:b/>
                <w:sz w:val="20"/>
                <w:lang w:eastAsia="en-AU"/>
              </w:rPr>
              <w:t>Strengthening the primary care medical workforce</w:t>
            </w:r>
          </w:p>
        </w:tc>
        <w:tc>
          <w:tcPr>
            <w:tcW w:w="5245" w:type="dxa"/>
          </w:tcPr>
          <w:p w14:paraId="3C5C8670" w14:textId="6246F57D" w:rsidR="00C94634" w:rsidRPr="00F675B0" w:rsidRDefault="00C94634" w:rsidP="00314D78">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color w:val="3A3E3E" w:themeColor="background2" w:themeShade="40"/>
                <w:sz w:val="20"/>
                <w:szCs w:val="20"/>
              </w:rPr>
            </w:pPr>
            <w:r w:rsidRPr="00F675B0">
              <w:rPr>
                <w:i/>
                <w:color w:val="3A3E3E" w:themeColor="background2" w:themeShade="40"/>
                <w:sz w:val="20"/>
                <w:lang w:eastAsia="en-AU"/>
              </w:rPr>
              <w:t>Support a skilled and distributed GP workforce to meet Queensland’s primary health care needs, particularly in rural and remote areas.</w:t>
            </w:r>
          </w:p>
        </w:tc>
      </w:tr>
      <w:tr w:rsidR="00C94634" w:rsidRPr="006F3C56" w14:paraId="02E23D56" w14:textId="77777777" w:rsidTr="00C94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8E8B831" w14:textId="603B65F6" w:rsidR="00C94634" w:rsidRPr="009C7746" w:rsidRDefault="00C94634">
            <w:pPr>
              <w:spacing w:before="120" w:after="120" w:line="276" w:lineRule="auto"/>
              <w:rPr>
                <w:b/>
                <w:bCs w:val="0"/>
                <w:sz w:val="20"/>
                <w:szCs w:val="20"/>
                <w:lang w:eastAsia="en-AU"/>
              </w:rPr>
            </w:pPr>
            <w:r w:rsidRPr="00314D78">
              <w:rPr>
                <w:b/>
                <w:sz w:val="20"/>
                <w:lang w:eastAsia="en-AU"/>
              </w:rPr>
              <w:t>Support for the next generation</w:t>
            </w:r>
          </w:p>
        </w:tc>
        <w:tc>
          <w:tcPr>
            <w:tcW w:w="5245" w:type="dxa"/>
          </w:tcPr>
          <w:p w14:paraId="62EEEC0B" w14:textId="0BD62D90" w:rsidR="00C94634" w:rsidRPr="00F675B0" w:rsidRDefault="00C94634" w:rsidP="00314D78">
            <w:pPr>
              <w:pStyle w:val="Default"/>
              <w:spacing w:before="120" w:after="120" w:line="276" w:lineRule="auto"/>
              <w:cnfStyle w:val="000000010000" w:firstRow="0" w:lastRow="0" w:firstColumn="0" w:lastColumn="0" w:oddVBand="0" w:evenVBand="0" w:oddHBand="0" w:evenHBand="1" w:firstRowFirstColumn="0" w:firstRowLastColumn="0" w:lastRowFirstColumn="0" w:lastRowLastColumn="0"/>
              <w:rPr>
                <w:color w:val="3A3E3E" w:themeColor="background2" w:themeShade="40"/>
                <w:sz w:val="20"/>
                <w:szCs w:val="20"/>
              </w:rPr>
            </w:pPr>
            <w:r w:rsidRPr="00F675B0">
              <w:rPr>
                <w:i/>
                <w:color w:val="3A3E3E" w:themeColor="background2" w:themeShade="40"/>
                <w:sz w:val="20"/>
                <w:lang w:eastAsia="en-AU"/>
              </w:rPr>
              <w:t xml:space="preserve">Encourage graduates and junior doctors into specialties and locations where there is </w:t>
            </w:r>
            <w:r w:rsidR="00D830D9">
              <w:rPr>
                <w:i/>
                <w:color w:val="3A3E3E" w:themeColor="background2" w:themeShade="40"/>
                <w:sz w:val="20"/>
                <w:lang w:eastAsia="en-AU"/>
              </w:rPr>
              <w:t xml:space="preserve">evidenced workforce and service </w:t>
            </w:r>
            <w:r w:rsidRPr="00F675B0">
              <w:rPr>
                <w:i/>
                <w:color w:val="3A3E3E" w:themeColor="background2" w:themeShade="40"/>
                <w:sz w:val="20"/>
                <w:lang w:eastAsia="en-AU"/>
              </w:rPr>
              <w:t>need.</w:t>
            </w:r>
          </w:p>
        </w:tc>
      </w:tr>
      <w:tr w:rsidR="00C94634" w:rsidRPr="006F3C56" w14:paraId="27D44B64" w14:textId="77777777" w:rsidTr="00C94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386CF1F" w14:textId="3E816E88" w:rsidR="00C94634" w:rsidRPr="00314D78" w:rsidRDefault="00C94634" w:rsidP="00314D78">
            <w:pPr>
              <w:spacing w:before="120" w:after="120" w:line="276" w:lineRule="auto"/>
              <w:rPr>
                <w:b/>
                <w:bCs w:val="0"/>
                <w:sz w:val="20"/>
                <w:lang w:eastAsia="en-AU"/>
              </w:rPr>
            </w:pPr>
            <w:r w:rsidRPr="00314D78">
              <w:rPr>
                <w:b/>
                <w:sz w:val="20"/>
                <w:lang w:eastAsia="en-AU"/>
              </w:rPr>
              <w:t>Securing a medical workforce to deliver services to regional and rural communities</w:t>
            </w:r>
          </w:p>
        </w:tc>
        <w:tc>
          <w:tcPr>
            <w:tcW w:w="5245" w:type="dxa"/>
          </w:tcPr>
          <w:p w14:paraId="45C4BEB0" w14:textId="1C5B95B1" w:rsidR="00C94634" w:rsidRPr="00F675B0" w:rsidRDefault="00C94634" w:rsidP="00314D78">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color w:val="3A3E3E" w:themeColor="background2" w:themeShade="40"/>
                <w:sz w:val="20"/>
                <w:szCs w:val="20"/>
              </w:rPr>
            </w:pPr>
            <w:r w:rsidRPr="00F675B0">
              <w:rPr>
                <w:i/>
                <w:color w:val="3A3E3E" w:themeColor="background2" w:themeShade="40"/>
                <w:sz w:val="20"/>
                <w:lang w:eastAsia="en-AU"/>
              </w:rPr>
              <w:t>Leverage significant increases in the medical workforce to address shortages in current and projected staffing requirements to achieve greater distribution of the workforce into regional, rural and remote health services.</w:t>
            </w:r>
          </w:p>
        </w:tc>
      </w:tr>
      <w:tr w:rsidR="00C94634" w:rsidRPr="006F3C56" w14:paraId="535F81EA" w14:textId="77777777" w:rsidTr="00C94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65D12EC" w14:textId="1EE4361D" w:rsidR="00C94634" w:rsidRPr="00314D78" w:rsidRDefault="00C94634" w:rsidP="00314D78">
            <w:pPr>
              <w:spacing w:before="120" w:after="120" w:line="276" w:lineRule="auto"/>
              <w:rPr>
                <w:b/>
                <w:bCs w:val="0"/>
                <w:sz w:val="20"/>
                <w:lang w:eastAsia="en-AU"/>
              </w:rPr>
            </w:pPr>
            <w:r w:rsidRPr="00314D78">
              <w:rPr>
                <w:b/>
                <w:sz w:val="20"/>
                <w:lang w:eastAsia="en-AU"/>
              </w:rPr>
              <w:t>Enabling sustainability</w:t>
            </w:r>
          </w:p>
        </w:tc>
        <w:tc>
          <w:tcPr>
            <w:tcW w:w="5245" w:type="dxa"/>
          </w:tcPr>
          <w:p w14:paraId="0BABA82D" w14:textId="145F9867" w:rsidR="00C94634" w:rsidRPr="00F675B0" w:rsidRDefault="00EE4D9F" w:rsidP="00314D78">
            <w:pPr>
              <w:pStyle w:val="Default"/>
              <w:spacing w:before="120" w:after="120" w:line="276" w:lineRule="auto"/>
              <w:cnfStyle w:val="000000010000" w:firstRow="0" w:lastRow="0" w:firstColumn="0" w:lastColumn="0" w:oddVBand="0" w:evenVBand="0" w:oddHBand="0" w:evenHBand="1" w:firstRowFirstColumn="0" w:firstRowLastColumn="0" w:lastRowFirstColumn="0" w:lastRowLastColumn="0"/>
              <w:rPr>
                <w:color w:val="3A3E3E" w:themeColor="background2" w:themeShade="40"/>
                <w:sz w:val="20"/>
                <w:szCs w:val="20"/>
              </w:rPr>
            </w:pPr>
            <w:r w:rsidRPr="00EE4D9F">
              <w:rPr>
                <w:i/>
                <w:color w:val="3A3E3E" w:themeColor="background2" w:themeShade="40"/>
                <w:sz w:val="20"/>
                <w:lang w:eastAsia="en-AU"/>
              </w:rPr>
              <w:t>Invest in Queensland’s future medical leaders and build a sustainable medical workforce pipeline for the future that facilitates equitable access to care, including exploration of workforce enhancement models</w:t>
            </w:r>
            <w:r>
              <w:rPr>
                <w:i/>
                <w:color w:val="3A3E3E" w:themeColor="background2" w:themeShade="40"/>
                <w:sz w:val="20"/>
                <w:lang w:eastAsia="en-AU"/>
              </w:rPr>
              <w:t>.</w:t>
            </w:r>
          </w:p>
        </w:tc>
      </w:tr>
      <w:tr w:rsidR="00C94634" w:rsidRPr="006F3C56" w14:paraId="3F524A9F" w14:textId="77777777" w:rsidTr="00C94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207D75C" w14:textId="65822D2E" w:rsidR="00C94634" w:rsidRPr="00314D78" w:rsidRDefault="009C7746" w:rsidP="00314D78">
            <w:pPr>
              <w:spacing w:before="120" w:after="120" w:line="276" w:lineRule="auto"/>
              <w:rPr>
                <w:b/>
                <w:bCs w:val="0"/>
                <w:sz w:val="20"/>
                <w:lang w:eastAsia="en-AU"/>
              </w:rPr>
            </w:pPr>
            <w:r w:rsidRPr="00314D78">
              <w:rPr>
                <w:b/>
                <w:sz w:val="20"/>
                <w:lang w:eastAsia="en-AU"/>
              </w:rPr>
              <w:t>Fostering the health and wellbeing of our medical workforce</w:t>
            </w:r>
          </w:p>
        </w:tc>
        <w:tc>
          <w:tcPr>
            <w:tcW w:w="5245" w:type="dxa"/>
          </w:tcPr>
          <w:p w14:paraId="51DDA6BC" w14:textId="4E0C1BAC" w:rsidR="00C94634" w:rsidRPr="00F675B0" w:rsidRDefault="009C7746" w:rsidP="00314D78">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color w:val="3A3E3E" w:themeColor="background2" w:themeShade="40"/>
                <w:sz w:val="20"/>
                <w:szCs w:val="20"/>
              </w:rPr>
            </w:pPr>
            <w:r w:rsidRPr="00F675B0">
              <w:rPr>
                <w:i/>
                <w:color w:val="3A3E3E" w:themeColor="background2" w:themeShade="40"/>
                <w:sz w:val="20"/>
                <w:lang w:eastAsia="en-AU"/>
              </w:rPr>
              <w:t>Provid</w:t>
            </w:r>
            <w:r>
              <w:rPr>
                <w:i/>
                <w:color w:val="3A3E3E" w:themeColor="background2" w:themeShade="40"/>
                <w:sz w:val="20"/>
                <w:lang w:eastAsia="en-AU"/>
              </w:rPr>
              <w:t>ing</w:t>
            </w:r>
            <w:r w:rsidRPr="00F675B0">
              <w:rPr>
                <w:i/>
                <w:color w:val="3A3E3E" w:themeColor="background2" w:themeShade="40"/>
                <w:sz w:val="20"/>
                <w:lang w:eastAsia="en-AU"/>
              </w:rPr>
              <w:t xml:space="preserve"> </w:t>
            </w:r>
            <w:r w:rsidR="00C94634" w:rsidRPr="00F675B0">
              <w:rPr>
                <w:i/>
                <w:color w:val="3A3E3E" w:themeColor="background2" w:themeShade="40"/>
                <w:sz w:val="20"/>
                <w:lang w:eastAsia="en-AU"/>
              </w:rPr>
              <w:t>support to the medical practitioner workforce via targeted initiatives or interventions which address experienced wellness issues or that facilitate cultural change.</w:t>
            </w:r>
          </w:p>
        </w:tc>
      </w:tr>
    </w:tbl>
    <w:p w14:paraId="57060348" w14:textId="422B0886" w:rsidR="00F675B0" w:rsidRDefault="00F675B0" w:rsidP="00F675B0">
      <w:pPr>
        <w:spacing w:before="120" w:after="120"/>
        <w:rPr>
          <w:b/>
          <w:bCs/>
          <w:i/>
          <w:iCs/>
          <w:color w:val="27AAE1" w:themeColor="accent3"/>
          <w:sz w:val="24"/>
          <w:szCs w:val="24"/>
        </w:rPr>
      </w:pPr>
      <w:r>
        <w:rPr>
          <w:lang w:eastAsia="en-AU"/>
        </w:rPr>
        <w:t xml:space="preserve">For </w:t>
      </w:r>
      <w:r w:rsidR="00371F9A">
        <w:rPr>
          <w:lang w:eastAsia="en-AU"/>
        </w:rPr>
        <w:t xml:space="preserve">additional </w:t>
      </w:r>
      <w:r>
        <w:rPr>
          <w:lang w:eastAsia="en-AU"/>
        </w:rPr>
        <w:t xml:space="preserve">background information, please refer to Appendix 1 for a snapshot of key initiatives successfully implemented over the first five years of the MPWP4Q. </w:t>
      </w:r>
    </w:p>
    <w:p w14:paraId="75F4FB5E" w14:textId="3650DB9E" w:rsidR="00F45C3F" w:rsidRPr="009140B9" w:rsidRDefault="007D793C" w:rsidP="00F45C3F">
      <w:pPr>
        <w:pStyle w:val="Heading2"/>
        <w:rPr>
          <w:b/>
          <w:bCs/>
          <w:i/>
          <w:iCs/>
          <w:color w:val="27AAE1" w:themeColor="accent3"/>
          <w:sz w:val="24"/>
          <w:szCs w:val="24"/>
        </w:rPr>
      </w:pPr>
      <w:r>
        <w:rPr>
          <w:b/>
          <w:bCs/>
          <w:i/>
          <w:iCs/>
          <w:color w:val="27AAE1" w:themeColor="accent3"/>
          <w:sz w:val="24"/>
          <w:szCs w:val="24"/>
        </w:rPr>
        <w:lastRenderedPageBreak/>
        <w:t>MPWP4Q refresh</w:t>
      </w:r>
    </w:p>
    <w:p w14:paraId="1BF804B6" w14:textId="51D99B4B" w:rsidR="00F50D91" w:rsidRDefault="00F50D91" w:rsidP="00B222BC">
      <w:pPr>
        <w:spacing w:before="120" w:after="120"/>
      </w:pPr>
      <w:r>
        <w:t xml:space="preserve">Medical workforce planning and development is currently an area of significant national and state reform particularly as </w:t>
      </w:r>
      <w:r w:rsidR="00D830D9">
        <w:t xml:space="preserve">the provision of healthcare </w:t>
      </w:r>
      <w:r>
        <w:t>emerge</w:t>
      </w:r>
      <w:r w:rsidR="00D830D9">
        <w:t>s</w:t>
      </w:r>
      <w:r>
        <w:t xml:space="preserve"> from the COVID-19 pandemic</w:t>
      </w:r>
      <w:r w:rsidR="00D830D9">
        <w:t>, Further the Queensland Government has committed to a</w:t>
      </w:r>
      <w:r>
        <w:t xml:space="preserve"> record capital expansion programs current</w:t>
      </w:r>
      <w:r w:rsidR="00081256">
        <w:t>ly</w:t>
      </w:r>
      <w:r>
        <w:t xml:space="preserve"> underway </w:t>
      </w:r>
      <w:r w:rsidR="00D830D9">
        <w:t xml:space="preserve">across </w:t>
      </w:r>
      <w:r>
        <w:t>Queensland</w:t>
      </w:r>
      <w:r w:rsidR="00D830D9">
        <w:t xml:space="preserve"> Health services</w:t>
      </w:r>
      <w:r>
        <w:t>.</w:t>
      </w:r>
    </w:p>
    <w:p w14:paraId="3024941A" w14:textId="367EEAFB" w:rsidR="00BF4032" w:rsidRPr="007D793C" w:rsidRDefault="005C1213" w:rsidP="005C1213">
      <w:pPr>
        <w:spacing w:before="120" w:after="120"/>
        <w:rPr>
          <w:color w:val="404040" w:themeColor="text1" w:themeTint="BF"/>
          <w:lang w:eastAsia="en-AU"/>
        </w:rPr>
      </w:pPr>
      <w:r w:rsidRPr="007D793C">
        <w:rPr>
          <w:color w:val="404040" w:themeColor="text1" w:themeTint="BF"/>
        </w:rPr>
        <w:t>To ensure that the MPWP4Q is responsive to the current and future needs of the medical workforce</w:t>
      </w:r>
      <w:r w:rsidR="00EB590D">
        <w:rPr>
          <w:color w:val="404040" w:themeColor="text1" w:themeTint="BF"/>
        </w:rPr>
        <w:t>,</w:t>
      </w:r>
      <w:r w:rsidRPr="007D793C">
        <w:rPr>
          <w:color w:val="404040" w:themeColor="text1" w:themeTint="BF"/>
        </w:rPr>
        <w:t xml:space="preserve"> the next phase of the MPWP4Q </w:t>
      </w:r>
      <w:r w:rsidR="007D793C">
        <w:rPr>
          <w:color w:val="404040" w:themeColor="text1" w:themeTint="BF"/>
        </w:rPr>
        <w:t xml:space="preserve">is intended to align with other key </w:t>
      </w:r>
      <w:r w:rsidR="00EB590D">
        <w:rPr>
          <w:color w:val="404040" w:themeColor="text1" w:themeTint="BF"/>
        </w:rPr>
        <w:t xml:space="preserve">national and state led </w:t>
      </w:r>
      <w:r w:rsidR="007D793C">
        <w:rPr>
          <w:color w:val="404040" w:themeColor="text1" w:themeTint="BF"/>
        </w:rPr>
        <w:t>workforce strategies</w:t>
      </w:r>
      <w:r w:rsidR="00EB590D">
        <w:rPr>
          <w:color w:val="404040" w:themeColor="text1" w:themeTint="BF"/>
        </w:rPr>
        <w:t xml:space="preserve"> including</w:t>
      </w:r>
      <w:r w:rsidR="000B4B6C">
        <w:rPr>
          <w:color w:val="404040" w:themeColor="text1" w:themeTint="BF"/>
        </w:rPr>
        <w:t>:</w:t>
      </w:r>
    </w:p>
    <w:p w14:paraId="1AC3F3D5" w14:textId="2511E1CC" w:rsidR="005C1213" w:rsidRPr="007D793C" w:rsidRDefault="0032445F" w:rsidP="007D793C">
      <w:pPr>
        <w:pStyle w:val="ListParagraph"/>
        <w:numPr>
          <w:ilvl w:val="0"/>
          <w:numId w:val="37"/>
        </w:numPr>
        <w:rPr>
          <w:i/>
          <w:iCs/>
          <w:lang w:eastAsia="en-AU"/>
        </w:rPr>
      </w:pPr>
      <w:hyperlink r:id="rId17" w:history="1">
        <w:r w:rsidR="005C1213" w:rsidRPr="007D793C">
          <w:rPr>
            <w:rStyle w:val="Hyperlink"/>
            <w:i/>
            <w:iCs/>
            <w:lang w:eastAsia="en-AU"/>
          </w:rPr>
          <w:t>National Medical Workforce Strategy 2021 - 2031</w:t>
        </w:r>
      </w:hyperlink>
    </w:p>
    <w:p w14:paraId="17737913" w14:textId="1D74BC99" w:rsidR="005C1213" w:rsidRPr="007D793C" w:rsidRDefault="0032445F" w:rsidP="005C1213">
      <w:pPr>
        <w:pStyle w:val="ListParagraph"/>
        <w:numPr>
          <w:ilvl w:val="0"/>
          <w:numId w:val="33"/>
        </w:numPr>
        <w:ind w:left="714" w:hanging="357"/>
        <w:rPr>
          <w:i/>
          <w:iCs/>
          <w:lang w:val="en-US" w:eastAsia="en-AU"/>
        </w:rPr>
      </w:pPr>
      <w:hyperlink r:id="rId18" w:history="1">
        <w:r w:rsidR="005C1213" w:rsidRPr="007D793C">
          <w:rPr>
            <w:rStyle w:val="Hyperlink"/>
            <w:i/>
            <w:iCs/>
            <w:lang w:eastAsia="en-AU"/>
          </w:rPr>
          <w:t>Department</w:t>
        </w:r>
        <w:r w:rsidR="005C1213" w:rsidRPr="007D793C">
          <w:rPr>
            <w:rStyle w:val="Hyperlink"/>
            <w:i/>
            <w:iCs/>
            <w:lang w:val="en-US" w:eastAsia="en-AU"/>
          </w:rPr>
          <w:t xml:space="preserve"> of Health Strategic Plan 2021 - 2025</w:t>
        </w:r>
      </w:hyperlink>
    </w:p>
    <w:p w14:paraId="7F0CB7B9" w14:textId="26A8763E" w:rsidR="00EB590D" w:rsidRPr="00EB590D" w:rsidRDefault="0032445F" w:rsidP="00EB590D">
      <w:pPr>
        <w:pStyle w:val="ListParagraph"/>
        <w:numPr>
          <w:ilvl w:val="0"/>
          <w:numId w:val="33"/>
        </w:numPr>
        <w:ind w:left="714" w:hanging="357"/>
        <w:rPr>
          <w:i/>
          <w:iCs/>
          <w:lang w:eastAsia="en-AU"/>
        </w:rPr>
      </w:pPr>
      <w:hyperlink r:id="rId19" w:history="1">
        <w:r w:rsidR="005C1213" w:rsidRPr="007D793C">
          <w:rPr>
            <w:rStyle w:val="Hyperlink"/>
            <w:i/>
            <w:iCs/>
            <w:lang w:eastAsia="en-AU"/>
          </w:rPr>
          <w:t>HealthQ32</w:t>
        </w:r>
        <w:r w:rsidR="005C1213" w:rsidRPr="007D793C">
          <w:rPr>
            <w:rStyle w:val="Hyperlink"/>
            <w:i/>
            <w:iCs/>
            <w:lang w:val="en-US" w:eastAsia="en-AU"/>
          </w:rPr>
          <w:t>: A Vision for Queensland’s Health System</w:t>
        </w:r>
      </w:hyperlink>
    </w:p>
    <w:p w14:paraId="3C5C9504" w14:textId="3C321A90" w:rsidR="00E21511" w:rsidRDefault="00E21511">
      <w:pPr>
        <w:rPr>
          <w:rFonts w:eastAsiaTheme="majorEastAsia" w:cstheme="majorBidi"/>
          <w:b/>
          <w:bCs/>
          <w:color w:val="0F5CA2" w:themeColor="accent1"/>
          <w:kern w:val="21"/>
          <w:sz w:val="32"/>
          <w:szCs w:val="32"/>
          <w:lang w:val="en-AU" w:eastAsia="en-AU"/>
          <w14:numSpacing w14:val="proportional"/>
        </w:rPr>
      </w:pPr>
      <w:r>
        <w:rPr>
          <w:b/>
          <w:bCs/>
          <w:sz w:val="32"/>
          <w:szCs w:val="32"/>
        </w:rPr>
        <w:br w:type="page"/>
      </w:r>
    </w:p>
    <w:p w14:paraId="000C2749" w14:textId="74D849EF" w:rsidR="006D2BCA" w:rsidRPr="00EF393D" w:rsidRDefault="006D2BCA" w:rsidP="006D2BCA">
      <w:pPr>
        <w:pStyle w:val="Heading2"/>
        <w:rPr>
          <w:b/>
          <w:bCs/>
          <w:sz w:val="32"/>
          <w:szCs w:val="32"/>
        </w:rPr>
      </w:pPr>
      <w:r w:rsidRPr="00EF393D">
        <w:rPr>
          <w:b/>
          <w:bCs/>
          <w:sz w:val="32"/>
          <w:szCs w:val="32"/>
        </w:rPr>
        <w:lastRenderedPageBreak/>
        <w:t>Assessment criteria</w:t>
      </w:r>
    </w:p>
    <w:p w14:paraId="5F15C62D" w14:textId="40FAC0D3" w:rsidR="00B53CE9" w:rsidRDefault="00B53CE9" w:rsidP="00F651BE">
      <w:pPr>
        <w:spacing w:before="120" w:after="120"/>
      </w:pPr>
      <w:r>
        <w:t xml:space="preserve">Applications must address </w:t>
      </w:r>
      <w:proofErr w:type="gramStart"/>
      <w:r>
        <w:t xml:space="preserve">the </w:t>
      </w:r>
      <w:r w:rsidR="00836840">
        <w:t>all</w:t>
      </w:r>
      <w:proofErr w:type="gramEnd"/>
      <w:r w:rsidR="00836840">
        <w:t xml:space="preserve"> three </w:t>
      </w:r>
      <w:r>
        <w:t xml:space="preserve">assessment criteria detailed below noting the identified weightings. The amount of detail and supporting evidence provided should be relative to the size, complexity and funding amount requested. </w:t>
      </w:r>
    </w:p>
    <w:p w14:paraId="46A90D37" w14:textId="77777777" w:rsidR="007364D6" w:rsidRDefault="007364D6" w:rsidP="007364D6">
      <w:pPr>
        <w:rPr>
          <w:highlight w:val="cyan"/>
          <w:lang w:val="en-AU"/>
        </w:rPr>
      </w:pPr>
    </w:p>
    <w:tbl>
      <w:tblPr>
        <w:tblStyle w:val="GridTable5Dark-Accent1"/>
        <w:tblW w:w="10065" w:type="dxa"/>
        <w:tblInd w:w="-426" w:type="dxa"/>
        <w:tblLayout w:type="fixed"/>
        <w:tblLook w:val="04A0" w:firstRow="1" w:lastRow="0" w:firstColumn="1" w:lastColumn="0" w:noHBand="0" w:noVBand="1"/>
      </w:tblPr>
      <w:tblGrid>
        <w:gridCol w:w="1560"/>
        <w:gridCol w:w="3119"/>
        <w:gridCol w:w="3969"/>
        <w:gridCol w:w="1417"/>
      </w:tblGrid>
      <w:tr w:rsidR="007364D6" w:rsidRPr="00B839E9" w14:paraId="37001B86" w14:textId="77777777" w:rsidTr="00514982">
        <w:trPr>
          <w:cnfStyle w:val="100000000000" w:firstRow="1" w:lastRow="0" w:firstColumn="0" w:lastColumn="0" w:oddVBand="0" w:evenVBand="0" w:oddHBand="0" w:evenHBand="0" w:firstRowFirstColumn="0" w:firstRowLastColumn="0" w:lastRowFirstColumn="0" w:lastRowLastColumn="0"/>
          <w:trHeight w:val="545"/>
        </w:trPr>
        <w:tc>
          <w:tcPr>
            <w:cnfStyle w:val="001000000100" w:firstRow="0" w:lastRow="0" w:firstColumn="1" w:lastColumn="0" w:oddVBand="0" w:evenVBand="0" w:oddHBand="0" w:evenHBand="0" w:firstRowFirstColumn="1" w:firstRowLastColumn="0" w:lastRowFirstColumn="0" w:lastRowLastColumn="0"/>
            <w:tcW w:w="1560" w:type="dxa"/>
          </w:tcPr>
          <w:p w14:paraId="5E6CD251" w14:textId="7D888761" w:rsidR="007364D6" w:rsidRPr="006D7274" w:rsidRDefault="002F090F" w:rsidP="00760D94">
            <w:pPr>
              <w:rPr>
                <w:rFonts w:ascii="Fira Sans" w:hAnsi="Fira Sans"/>
                <w:b/>
                <w:bCs w:val="0"/>
                <w:sz w:val="20"/>
                <w:szCs w:val="20"/>
                <w:highlight w:val="cyan"/>
                <w:lang w:val="en-AU"/>
              </w:rPr>
            </w:pPr>
            <w:r w:rsidRPr="006D7274">
              <w:rPr>
                <w:rFonts w:ascii="Fira Sans" w:hAnsi="Fira Sans"/>
                <w:b/>
                <w:bCs w:val="0"/>
                <w:sz w:val="20"/>
                <w:szCs w:val="20"/>
                <w:lang w:val="en-AU"/>
              </w:rPr>
              <w:t>Assessment</w:t>
            </w:r>
            <w:r w:rsidR="007364D6" w:rsidRPr="006D7274">
              <w:rPr>
                <w:rFonts w:ascii="Fira Sans" w:hAnsi="Fira Sans"/>
                <w:b/>
                <w:bCs w:val="0"/>
                <w:sz w:val="20"/>
                <w:szCs w:val="20"/>
                <w:lang w:val="en-AU"/>
              </w:rPr>
              <w:t xml:space="preserve"> criteria </w:t>
            </w:r>
          </w:p>
        </w:tc>
        <w:tc>
          <w:tcPr>
            <w:tcW w:w="3119" w:type="dxa"/>
          </w:tcPr>
          <w:p w14:paraId="0FCD5761" w14:textId="77777777" w:rsidR="007364D6" w:rsidRPr="006D7274" w:rsidRDefault="007364D6" w:rsidP="00760D94">
            <w:pPr>
              <w:cnfStyle w:val="100000000000" w:firstRow="1" w:lastRow="0" w:firstColumn="0" w:lastColumn="0" w:oddVBand="0" w:evenVBand="0" w:oddHBand="0" w:evenHBand="0" w:firstRowFirstColumn="0" w:firstRowLastColumn="0" w:lastRowFirstColumn="0" w:lastRowLastColumn="0"/>
              <w:rPr>
                <w:rFonts w:ascii="Fira Sans" w:hAnsi="Fira Sans"/>
                <w:b/>
                <w:bCs w:val="0"/>
                <w:sz w:val="20"/>
                <w:szCs w:val="20"/>
                <w:highlight w:val="cyan"/>
                <w:lang w:val="en-AU"/>
              </w:rPr>
            </w:pPr>
            <w:r w:rsidRPr="006D7274">
              <w:rPr>
                <w:rFonts w:ascii="Fira Sans" w:hAnsi="Fira Sans"/>
                <w:b/>
                <w:bCs w:val="0"/>
                <w:sz w:val="20"/>
                <w:szCs w:val="20"/>
                <w:lang w:val="en-AU"/>
              </w:rPr>
              <w:t>Description</w:t>
            </w:r>
          </w:p>
        </w:tc>
        <w:tc>
          <w:tcPr>
            <w:tcW w:w="3969" w:type="dxa"/>
          </w:tcPr>
          <w:p w14:paraId="539DD192" w14:textId="77777777" w:rsidR="007364D6" w:rsidRPr="006D7274" w:rsidRDefault="007364D6" w:rsidP="00760D94">
            <w:pPr>
              <w:cnfStyle w:val="100000000000" w:firstRow="1" w:lastRow="0" w:firstColumn="0" w:lastColumn="0" w:oddVBand="0" w:evenVBand="0" w:oddHBand="0" w:evenHBand="0" w:firstRowFirstColumn="0" w:firstRowLastColumn="0" w:lastRowFirstColumn="0" w:lastRowLastColumn="0"/>
              <w:rPr>
                <w:rFonts w:ascii="Fira Sans" w:hAnsi="Fira Sans"/>
                <w:b/>
                <w:bCs w:val="0"/>
                <w:sz w:val="20"/>
                <w:szCs w:val="20"/>
                <w:highlight w:val="cyan"/>
                <w:lang w:val="en-AU"/>
              </w:rPr>
            </w:pPr>
            <w:r w:rsidRPr="006D7274">
              <w:rPr>
                <w:rFonts w:ascii="Fira Sans" w:hAnsi="Fira Sans"/>
                <w:b/>
                <w:bCs w:val="0"/>
                <w:sz w:val="20"/>
                <w:szCs w:val="20"/>
                <w:lang w:val="en-AU"/>
              </w:rPr>
              <w:t>Requirements</w:t>
            </w:r>
          </w:p>
        </w:tc>
        <w:tc>
          <w:tcPr>
            <w:tcW w:w="1417" w:type="dxa"/>
          </w:tcPr>
          <w:p w14:paraId="687DA3C1" w14:textId="4CAD1E00" w:rsidR="007364D6" w:rsidRPr="006D7274" w:rsidRDefault="001A0765" w:rsidP="00760D94">
            <w:pPr>
              <w:cnfStyle w:val="100000000000" w:firstRow="1" w:lastRow="0" w:firstColumn="0" w:lastColumn="0" w:oddVBand="0" w:evenVBand="0" w:oddHBand="0" w:evenHBand="0" w:firstRowFirstColumn="0" w:firstRowLastColumn="0" w:lastRowFirstColumn="0" w:lastRowLastColumn="0"/>
              <w:rPr>
                <w:rFonts w:ascii="Fira Sans" w:hAnsi="Fira Sans"/>
                <w:b/>
                <w:bCs w:val="0"/>
                <w:sz w:val="20"/>
                <w:szCs w:val="20"/>
                <w:highlight w:val="cyan"/>
                <w:lang w:val="en-AU"/>
              </w:rPr>
            </w:pPr>
            <w:r w:rsidRPr="006D7274">
              <w:rPr>
                <w:rFonts w:ascii="Fira Sans" w:hAnsi="Fira Sans"/>
                <w:b/>
                <w:bCs w:val="0"/>
                <w:sz w:val="20"/>
                <w:szCs w:val="20"/>
                <w:lang w:val="en-AU"/>
              </w:rPr>
              <w:t>Weighting</w:t>
            </w:r>
          </w:p>
        </w:tc>
      </w:tr>
      <w:tr w:rsidR="007364D6" w:rsidRPr="00B839E9" w14:paraId="0CBC7736" w14:textId="77777777" w:rsidTr="00514982">
        <w:trPr>
          <w:cnfStyle w:val="000000100000" w:firstRow="0" w:lastRow="0" w:firstColumn="0" w:lastColumn="0" w:oddVBand="0" w:evenVBand="0" w:oddHBand="1" w:evenHBand="0" w:firstRowFirstColumn="0" w:firstRowLastColumn="0" w:lastRowFirstColumn="0" w:lastRowLastColumn="0"/>
          <w:trHeight w:val="2934"/>
        </w:trPr>
        <w:tc>
          <w:tcPr>
            <w:cnfStyle w:val="001000000000" w:firstRow="0" w:lastRow="0" w:firstColumn="1" w:lastColumn="0" w:oddVBand="0" w:evenVBand="0" w:oddHBand="0" w:evenHBand="0" w:firstRowFirstColumn="0" w:firstRowLastColumn="0" w:lastRowFirstColumn="0" w:lastRowLastColumn="0"/>
            <w:tcW w:w="1560" w:type="dxa"/>
          </w:tcPr>
          <w:p w14:paraId="1A2CB98D" w14:textId="0CC47660" w:rsidR="007364D6" w:rsidRPr="006D7274" w:rsidRDefault="007364D6" w:rsidP="00F651BE">
            <w:pPr>
              <w:spacing w:before="120" w:after="120"/>
              <w:rPr>
                <w:b/>
                <w:bCs w:val="0"/>
                <w:sz w:val="20"/>
                <w:szCs w:val="20"/>
                <w:lang w:eastAsia="en-AU"/>
              </w:rPr>
            </w:pPr>
            <w:r w:rsidRPr="006D7274">
              <w:rPr>
                <w:b/>
                <w:bCs w:val="0"/>
                <w:sz w:val="20"/>
                <w:szCs w:val="20"/>
                <w:lang w:eastAsia="en-AU"/>
              </w:rPr>
              <w:t xml:space="preserve">Criteria 1: Strategic </w:t>
            </w:r>
            <w:r w:rsidR="004F2323" w:rsidRPr="006D7274">
              <w:rPr>
                <w:b/>
                <w:bCs w:val="0"/>
                <w:sz w:val="20"/>
                <w:szCs w:val="20"/>
                <w:lang w:eastAsia="en-AU"/>
              </w:rPr>
              <w:t>a</w:t>
            </w:r>
            <w:r w:rsidRPr="006D7274">
              <w:rPr>
                <w:b/>
                <w:bCs w:val="0"/>
                <w:sz w:val="20"/>
                <w:szCs w:val="20"/>
                <w:lang w:eastAsia="en-AU"/>
              </w:rPr>
              <w:t xml:space="preserve">lignment  </w:t>
            </w:r>
          </w:p>
          <w:p w14:paraId="40D70FD8" w14:textId="77777777" w:rsidR="007364D6" w:rsidRPr="006D7274" w:rsidRDefault="007364D6" w:rsidP="00760D94">
            <w:pPr>
              <w:rPr>
                <w:sz w:val="20"/>
                <w:szCs w:val="20"/>
                <w:highlight w:val="cyan"/>
                <w:lang w:val="en-AU"/>
              </w:rPr>
            </w:pPr>
          </w:p>
        </w:tc>
        <w:tc>
          <w:tcPr>
            <w:tcW w:w="3119" w:type="dxa"/>
          </w:tcPr>
          <w:p w14:paraId="15879F19" w14:textId="7C099D52" w:rsidR="007364D6" w:rsidRDefault="00E07F9B">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Cs/>
                <w:szCs w:val="20"/>
                <w:lang w:val="en-GB"/>
              </w:rPr>
            </w:pPr>
            <w:r>
              <w:rPr>
                <w:rFonts w:cstheme="minorHAnsi"/>
                <w:bCs/>
                <w:sz w:val="20"/>
                <w:szCs w:val="20"/>
                <w:lang w:val="en-GB"/>
              </w:rPr>
              <w:t>Demonstrate h</w:t>
            </w:r>
            <w:r w:rsidR="00E71BCA">
              <w:rPr>
                <w:rFonts w:cstheme="minorHAnsi"/>
                <w:bCs/>
                <w:sz w:val="20"/>
                <w:szCs w:val="20"/>
                <w:lang w:val="en-GB"/>
              </w:rPr>
              <w:t>ow well t</w:t>
            </w:r>
            <w:r w:rsidR="00E71BCA" w:rsidRPr="006D7274">
              <w:rPr>
                <w:rFonts w:cstheme="minorHAnsi"/>
                <w:bCs/>
                <w:sz w:val="20"/>
                <w:szCs w:val="20"/>
                <w:lang w:val="en-GB"/>
              </w:rPr>
              <w:t xml:space="preserve">he </w:t>
            </w:r>
            <w:r w:rsidR="004F2323" w:rsidRPr="006D7274">
              <w:rPr>
                <w:rFonts w:cstheme="minorHAnsi"/>
                <w:bCs/>
                <w:sz w:val="20"/>
                <w:szCs w:val="20"/>
                <w:lang w:val="en-GB"/>
              </w:rPr>
              <w:t>proposed activities</w:t>
            </w:r>
            <w:r w:rsidR="006D7274">
              <w:rPr>
                <w:rFonts w:cstheme="minorHAnsi"/>
                <w:bCs/>
                <w:sz w:val="20"/>
                <w:szCs w:val="20"/>
                <w:lang w:val="en-GB"/>
              </w:rPr>
              <w:t xml:space="preserve"> / project</w:t>
            </w:r>
            <w:r w:rsidR="007364D6" w:rsidRPr="006D7274">
              <w:rPr>
                <w:rFonts w:cstheme="minorHAnsi"/>
                <w:bCs/>
                <w:sz w:val="20"/>
                <w:szCs w:val="20"/>
                <w:lang w:val="en-GB"/>
              </w:rPr>
              <w:t xml:space="preserve"> align</w:t>
            </w:r>
            <w:r w:rsidR="00E71BCA">
              <w:rPr>
                <w:rFonts w:cstheme="minorHAnsi"/>
                <w:bCs/>
                <w:sz w:val="20"/>
                <w:szCs w:val="20"/>
                <w:lang w:val="en-GB"/>
              </w:rPr>
              <w:t>s</w:t>
            </w:r>
            <w:r w:rsidR="007364D6" w:rsidRPr="006D7274">
              <w:rPr>
                <w:rFonts w:cstheme="minorHAnsi"/>
                <w:bCs/>
                <w:sz w:val="20"/>
                <w:szCs w:val="20"/>
                <w:lang w:val="en-GB"/>
              </w:rPr>
              <w:t xml:space="preserve"> with one or more of the </w:t>
            </w:r>
            <w:r w:rsidR="00795E9B">
              <w:rPr>
                <w:rFonts w:cstheme="minorHAnsi"/>
                <w:bCs/>
                <w:sz w:val="20"/>
                <w:szCs w:val="20"/>
                <w:lang w:val="en-GB"/>
              </w:rPr>
              <w:t xml:space="preserve">following </w:t>
            </w:r>
            <w:r w:rsidR="00BB7F1D">
              <w:rPr>
                <w:rFonts w:cstheme="minorHAnsi"/>
                <w:bCs/>
                <w:sz w:val="20"/>
                <w:szCs w:val="20"/>
                <w:lang w:val="en-GB"/>
              </w:rPr>
              <w:t>MPWP4Q strategic priorities and objectives</w:t>
            </w:r>
            <w:r w:rsidR="00E71BCA">
              <w:rPr>
                <w:rFonts w:cstheme="minorHAnsi"/>
                <w:bCs/>
                <w:sz w:val="20"/>
                <w:szCs w:val="20"/>
                <w:lang w:val="en-GB"/>
              </w:rPr>
              <w:t>.</w:t>
            </w:r>
          </w:p>
          <w:p w14:paraId="373209C2" w14:textId="15AD1FC9" w:rsidR="00B0651A" w:rsidRDefault="00B0651A">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Cs/>
                <w:szCs w:val="20"/>
                <w:lang w:val="en-GB"/>
              </w:rPr>
            </w:pPr>
          </w:p>
          <w:p w14:paraId="6FE0CB79" w14:textId="46855464" w:rsidR="00B0651A" w:rsidRPr="00795E9B" w:rsidRDefault="00B0651A" w:rsidP="00314D78">
            <w:pPr>
              <w:pStyle w:val="ListParagraph"/>
              <w:numPr>
                <w:ilvl w:val="0"/>
                <w:numId w:val="38"/>
              </w:num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lang w:val="en-GB"/>
              </w:rPr>
            </w:pPr>
            <w:r>
              <w:rPr>
                <w:rFonts w:cstheme="minorHAnsi"/>
                <w:bCs/>
                <w:sz w:val="20"/>
                <w:szCs w:val="20"/>
                <w:lang w:val="en-GB"/>
              </w:rPr>
              <w:t>Priority areas</w:t>
            </w:r>
          </w:p>
          <w:p w14:paraId="0403565A" w14:textId="66350D6C" w:rsidR="00B0651A" w:rsidRPr="00795E9B" w:rsidRDefault="00B0651A" w:rsidP="00314D78">
            <w:pPr>
              <w:pStyle w:val="ListParagraph"/>
              <w:numPr>
                <w:ilvl w:val="0"/>
                <w:numId w:val="38"/>
              </w:num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lang w:val="en-GB"/>
              </w:rPr>
            </w:pPr>
            <w:r>
              <w:rPr>
                <w:rFonts w:cstheme="minorHAnsi"/>
                <w:bCs/>
                <w:sz w:val="20"/>
                <w:szCs w:val="20"/>
                <w:lang w:val="en-GB"/>
              </w:rPr>
              <w:t>Shared data collection and analysis</w:t>
            </w:r>
          </w:p>
          <w:p w14:paraId="1C50CAC5" w14:textId="7F0FB0A6" w:rsidR="00B0651A" w:rsidRPr="00795E9B" w:rsidRDefault="00B0651A" w:rsidP="00314D78">
            <w:pPr>
              <w:pStyle w:val="ListParagraph"/>
              <w:numPr>
                <w:ilvl w:val="0"/>
                <w:numId w:val="38"/>
              </w:num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lang w:val="en-GB"/>
              </w:rPr>
            </w:pPr>
            <w:r>
              <w:rPr>
                <w:rFonts w:cstheme="minorHAnsi"/>
                <w:bCs/>
                <w:sz w:val="20"/>
                <w:szCs w:val="20"/>
                <w:lang w:val="en-GB"/>
              </w:rPr>
              <w:t>Strengthening the primary care medical workforce</w:t>
            </w:r>
          </w:p>
          <w:p w14:paraId="17F8DB39" w14:textId="568E588E" w:rsidR="00B0651A" w:rsidRPr="00795E9B" w:rsidRDefault="00B0651A" w:rsidP="00314D78">
            <w:pPr>
              <w:pStyle w:val="ListParagraph"/>
              <w:numPr>
                <w:ilvl w:val="0"/>
                <w:numId w:val="38"/>
              </w:num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lang w:val="en-GB"/>
              </w:rPr>
            </w:pPr>
            <w:r>
              <w:rPr>
                <w:rFonts w:cstheme="minorHAnsi"/>
                <w:bCs/>
                <w:sz w:val="20"/>
                <w:szCs w:val="20"/>
                <w:lang w:val="en-GB"/>
              </w:rPr>
              <w:t>Support for the next generation</w:t>
            </w:r>
          </w:p>
          <w:p w14:paraId="2DE83347" w14:textId="53F9658B" w:rsidR="00B0651A" w:rsidRPr="00795E9B" w:rsidRDefault="00795E9B" w:rsidP="00314D78">
            <w:pPr>
              <w:pStyle w:val="ListParagraph"/>
              <w:numPr>
                <w:ilvl w:val="0"/>
                <w:numId w:val="38"/>
              </w:num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lang w:val="en-GB"/>
              </w:rPr>
            </w:pPr>
            <w:r w:rsidRPr="00795E9B">
              <w:rPr>
                <w:rFonts w:cstheme="minorHAnsi"/>
                <w:bCs/>
                <w:sz w:val="20"/>
                <w:szCs w:val="20"/>
                <w:lang w:val="en-GB"/>
              </w:rPr>
              <w:t>Securing a medical workforce to deliver services to regional and rural communities</w:t>
            </w:r>
          </w:p>
          <w:p w14:paraId="21B95B4B" w14:textId="5A042E56" w:rsidR="00795E9B" w:rsidRPr="00795E9B" w:rsidRDefault="00795E9B" w:rsidP="00314D78">
            <w:pPr>
              <w:pStyle w:val="ListParagraph"/>
              <w:numPr>
                <w:ilvl w:val="0"/>
                <w:numId w:val="38"/>
              </w:num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lang w:val="en-GB"/>
              </w:rPr>
            </w:pPr>
            <w:r>
              <w:rPr>
                <w:rFonts w:cstheme="minorHAnsi"/>
                <w:bCs/>
                <w:sz w:val="20"/>
                <w:szCs w:val="20"/>
                <w:lang w:val="en-GB"/>
              </w:rPr>
              <w:t>Enabling sustainability</w:t>
            </w:r>
          </w:p>
          <w:p w14:paraId="171799C9" w14:textId="514967A4" w:rsidR="007364D6" w:rsidRPr="00314D78" w:rsidRDefault="009C7746" w:rsidP="00314D78">
            <w:pPr>
              <w:pStyle w:val="ListParagraph"/>
              <w:numPr>
                <w:ilvl w:val="0"/>
                <w:numId w:val="38"/>
              </w:num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lang w:val="en-GB"/>
              </w:rPr>
            </w:pPr>
            <w:r>
              <w:rPr>
                <w:rFonts w:cstheme="minorHAnsi"/>
                <w:bCs/>
                <w:sz w:val="20"/>
                <w:szCs w:val="20"/>
                <w:lang w:val="en-GB"/>
              </w:rPr>
              <w:t>Fostering the health and wellbeing of our medical workforce</w:t>
            </w:r>
          </w:p>
        </w:tc>
        <w:tc>
          <w:tcPr>
            <w:tcW w:w="3969" w:type="dxa"/>
          </w:tcPr>
          <w:p w14:paraId="7F73816B" w14:textId="2290196D" w:rsidR="007364D6" w:rsidRPr="006D7274" w:rsidRDefault="007364D6" w:rsidP="004F2323">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GB"/>
              </w:rPr>
            </w:pPr>
            <w:r w:rsidRPr="006D7274">
              <w:rPr>
                <w:rFonts w:cstheme="minorHAnsi"/>
                <w:b/>
                <w:bCs/>
                <w:sz w:val="20"/>
                <w:szCs w:val="20"/>
                <w:lang w:val="en-GB"/>
              </w:rPr>
              <w:t xml:space="preserve">Your response provided in the </w:t>
            </w:r>
            <w:r w:rsidR="0005728F" w:rsidRPr="006D7274">
              <w:rPr>
                <w:rFonts w:cstheme="minorHAnsi"/>
                <w:b/>
                <w:bCs/>
                <w:sz w:val="20"/>
                <w:szCs w:val="20"/>
                <w:lang w:val="en-GB"/>
              </w:rPr>
              <w:t>application</w:t>
            </w:r>
            <w:r w:rsidRPr="006D7274">
              <w:rPr>
                <w:rFonts w:cstheme="minorHAnsi"/>
                <w:b/>
                <w:bCs/>
                <w:sz w:val="20"/>
                <w:szCs w:val="20"/>
                <w:lang w:val="en-GB"/>
              </w:rPr>
              <w:t xml:space="preserve"> </w:t>
            </w:r>
            <w:r w:rsidR="0005728F" w:rsidRPr="006D7274">
              <w:rPr>
                <w:rFonts w:cstheme="minorHAnsi"/>
                <w:b/>
                <w:bCs/>
                <w:sz w:val="20"/>
                <w:szCs w:val="20"/>
                <w:lang w:val="en-GB"/>
              </w:rPr>
              <w:t xml:space="preserve">form </w:t>
            </w:r>
            <w:r w:rsidRPr="006D7274">
              <w:rPr>
                <w:rFonts w:cstheme="minorHAnsi"/>
                <w:b/>
                <w:bCs/>
                <w:sz w:val="20"/>
                <w:szCs w:val="20"/>
                <w:lang w:val="en-GB"/>
              </w:rPr>
              <w:t xml:space="preserve">must include: </w:t>
            </w:r>
          </w:p>
          <w:p w14:paraId="0D38D811" w14:textId="61952DB4" w:rsidR="007364D6" w:rsidRPr="006D7274" w:rsidRDefault="000B4B6C" w:rsidP="004F2323">
            <w:pPr>
              <w:pStyle w:val="ListParagraph"/>
              <w:numPr>
                <w:ilvl w:val="0"/>
                <w:numId w:val="17"/>
              </w:numPr>
              <w:tabs>
                <w:tab w:val="clear" w:pos="720"/>
                <w:tab w:val="num" w:pos="367"/>
              </w:tabs>
              <w:spacing w:line="276" w:lineRule="auto"/>
              <w:ind w:left="225" w:hanging="225"/>
              <w:textboxTightWrap w:val="none"/>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Identification</w:t>
            </w:r>
            <w:r w:rsidRPr="006D7274">
              <w:rPr>
                <w:rFonts w:cstheme="minorHAnsi"/>
                <w:sz w:val="20"/>
                <w:szCs w:val="20"/>
                <w:lang w:val="en-GB"/>
              </w:rPr>
              <w:t xml:space="preserve"> </w:t>
            </w:r>
            <w:r w:rsidR="007364D6" w:rsidRPr="006D7274">
              <w:rPr>
                <w:rFonts w:cstheme="minorHAnsi"/>
                <w:sz w:val="20"/>
                <w:szCs w:val="20"/>
                <w:lang w:val="en-GB"/>
              </w:rPr>
              <w:t xml:space="preserve">of which </w:t>
            </w:r>
            <w:r w:rsidR="00BB7F1D">
              <w:rPr>
                <w:rFonts w:cstheme="minorHAnsi"/>
                <w:sz w:val="20"/>
                <w:szCs w:val="20"/>
                <w:lang w:val="en-GB"/>
              </w:rPr>
              <w:t>MPWP4Q strategic priorities</w:t>
            </w:r>
            <w:r w:rsidR="007364D6" w:rsidRPr="006D7274">
              <w:rPr>
                <w:rFonts w:cstheme="minorHAnsi"/>
                <w:sz w:val="20"/>
                <w:szCs w:val="20"/>
                <w:lang w:val="en-GB"/>
              </w:rPr>
              <w:t xml:space="preserve"> </w:t>
            </w:r>
            <w:r w:rsidR="006D7274">
              <w:rPr>
                <w:rFonts w:cstheme="minorHAnsi"/>
                <w:sz w:val="20"/>
                <w:szCs w:val="20"/>
                <w:lang w:val="en-GB"/>
              </w:rPr>
              <w:t>the proposed activities / project</w:t>
            </w:r>
            <w:r w:rsidR="007364D6" w:rsidRPr="006D7274">
              <w:rPr>
                <w:rFonts w:cstheme="minorHAnsi"/>
                <w:sz w:val="20"/>
                <w:szCs w:val="20"/>
                <w:lang w:val="en-GB"/>
              </w:rPr>
              <w:t xml:space="preserve"> best aligns with</w:t>
            </w:r>
            <w:r w:rsidR="00E07F9B">
              <w:rPr>
                <w:rFonts w:cstheme="minorHAnsi"/>
                <w:sz w:val="20"/>
                <w:szCs w:val="20"/>
                <w:lang w:val="en-GB"/>
              </w:rPr>
              <w:t>.</w:t>
            </w:r>
          </w:p>
          <w:p w14:paraId="59DEE60D" w14:textId="6CC3505E" w:rsidR="000A32B2" w:rsidRPr="000A32B2" w:rsidRDefault="003F21B2" w:rsidP="00314D78">
            <w:pPr>
              <w:pStyle w:val="ListParagraph"/>
              <w:numPr>
                <w:ilvl w:val="0"/>
                <w:numId w:val="17"/>
              </w:numPr>
              <w:tabs>
                <w:tab w:val="clear" w:pos="720"/>
                <w:tab w:val="num" w:pos="367"/>
              </w:tabs>
              <w:spacing w:line="276" w:lineRule="auto"/>
              <w:ind w:left="227" w:hanging="227"/>
              <w:textboxTightWrap w:val="none"/>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A</w:t>
            </w:r>
            <w:r w:rsidR="000A32B2" w:rsidRPr="000A32B2">
              <w:rPr>
                <w:rFonts w:cstheme="minorHAnsi"/>
                <w:sz w:val="20"/>
                <w:szCs w:val="20"/>
                <w:lang w:val="en-GB"/>
              </w:rPr>
              <w:t xml:space="preserve"> detailed description of the proposed</w:t>
            </w:r>
            <w:r w:rsidR="000B4B6C">
              <w:rPr>
                <w:rFonts w:cstheme="minorHAnsi"/>
                <w:sz w:val="20"/>
                <w:szCs w:val="20"/>
                <w:lang w:val="en-GB"/>
              </w:rPr>
              <w:t xml:space="preserve"> activities / </w:t>
            </w:r>
            <w:r w:rsidR="000A32B2">
              <w:rPr>
                <w:rFonts w:cstheme="minorHAnsi"/>
                <w:sz w:val="20"/>
                <w:szCs w:val="20"/>
                <w:lang w:val="en-GB"/>
              </w:rPr>
              <w:t xml:space="preserve">project </w:t>
            </w:r>
            <w:r w:rsidR="000A32B2" w:rsidRPr="000A32B2">
              <w:rPr>
                <w:rFonts w:cstheme="minorHAnsi"/>
                <w:sz w:val="20"/>
                <w:szCs w:val="20"/>
                <w:lang w:val="en-GB"/>
              </w:rPr>
              <w:t>and how they will contribute to delivering one or more of the MPWP4Q strategic priorities</w:t>
            </w:r>
            <w:r w:rsidR="000A32B2">
              <w:rPr>
                <w:rFonts w:cstheme="minorHAnsi"/>
                <w:sz w:val="20"/>
                <w:szCs w:val="20"/>
                <w:lang w:val="en-GB"/>
              </w:rPr>
              <w:t xml:space="preserve"> and</w:t>
            </w:r>
            <w:r w:rsidR="000A32B2" w:rsidRPr="000A32B2">
              <w:rPr>
                <w:rFonts w:cstheme="minorHAnsi"/>
                <w:sz w:val="20"/>
                <w:szCs w:val="20"/>
                <w:lang w:val="en-GB"/>
              </w:rPr>
              <w:t xml:space="preserve"> objectives</w:t>
            </w:r>
            <w:r w:rsidR="00F675B0">
              <w:rPr>
                <w:rFonts w:cstheme="minorHAnsi"/>
                <w:sz w:val="20"/>
                <w:szCs w:val="20"/>
                <w:lang w:val="en-GB"/>
              </w:rPr>
              <w:t xml:space="preserve"> (without duplicating any current activities or causing disruption of existing activities). </w:t>
            </w:r>
          </w:p>
          <w:p w14:paraId="331ADF3D" w14:textId="1BE14BAB" w:rsidR="0005728F" w:rsidRPr="00A3317F" w:rsidRDefault="0005728F" w:rsidP="00CE73F0">
            <w:pPr>
              <w:pStyle w:val="ListParagraph"/>
              <w:tabs>
                <w:tab w:val="left" w:pos="2835"/>
              </w:tabs>
              <w:ind w:left="225"/>
              <w:textboxTightWrap w:val="none"/>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tcPr>
          <w:p w14:paraId="28F2FC0E" w14:textId="7C6BE123" w:rsidR="007364D6" w:rsidRPr="006D7274" w:rsidRDefault="001A0765" w:rsidP="004F2323">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b/>
                <w:sz w:val="20"/>
                <w:szCs w:val="20"/>
                <w:highlight w:val="cyan"/>
                <w:lang w:val="en-AU"/>
              </w:rPr>
            </w:pPr>
            <w:r w:rsidRPr="006D7274">
              <w:rPr>
                <w:b/>
                <w:sz w:val="20"/>
                <w:szCs w:val="20"/>
                <w:lang w:val="en-AU"/>
              </w:rPr>
              <w:t>50%</w:t>
            </w:r>
          </w:p>
        </w:tc>
      </w:tr>
      <w:tr w:rsidR="007364D6" w:rsidRPr="00B839E9" w14:paraId="3A079775" w14:textId="77777777" w:rsidTr="00514982">
        <w:trPr>
          <w:cnfStyle w:val="000000010000" w:firstRow="0" w:lastRow="0" w:firstColumn="0" w:lastColumn="0" w:oddVBand="0" w:evenVBand="0" w:oddHBand="0" w:evenHBand="1"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560" w:type="dxa"/>
          </w:tcPr>
          <w:p w14:paraId="35360917" w14:textId="5C0C4ECF" w:rsidR="007364D6" w:rsidRPr="006D7274" w:rsidRDefault="007364D6" w:rsidP="00F651BE">
            <w:pPr>
              <w:spacing w:before="120" w:after="120"/>
              <w:rPr>
                <w:b/>
                <w:bCs w:val="0"/>
                <w:sz w:val="20"/>
                <w:szCs w:val="20"/>
                <w:lang w:eastAsia="en-AU"/>
              </w:rPr>
            </w:pPr>
            <w:r w:rsidRPr="006D7274">
              <w:rPr>
                <w:b/>
                <w:bCs w:val="0"/>
                <w:sz w:val="20"/>
                <w:szCs w:val="20"/>
                <w:lang w:eastAsia="en-AU"/>
              </w:rPr>
              <w:lastRenderedPageBreak/>
              <w:t xml:space="preserve">Criteria 2:  Capability and </w:t>
            </w:r>
            <w:r w:rsidR="004F2323" w:rsidRPr="006D7274">
              <w:rPr>
                <w:b/>
                <w:bCs w:val="0"/>
                <w:sz w:val="20"/>
                <w:szCs w:val="20"/>
                <w:lang w:eastAsia="en-AU"/>
              </w:rPr>
              <w:t>c</w:t>
            </w:r>
            <w:r w:rsidRPr="006D7274">
              <w:rPr>
                <w:b/>
                <w:bCs w:val="0"/>
                <w:sz w:val="20"/>
                <w:szCs w:val="20"/>
                <w:lang w:eastAsia="en-AU"/>
              </w:rPr>
              <w:t xml:space="preserve">apacity </w:t>
            </w:r>
          </w:p>
          <w:p w14:paraId="75079337" w14:textId="77777777" w:rsidR="007364D6" w:rsidRPr="006D7274" w:rsidRDefault="007364D6" w:rsidP="00760D94">
            <w:pPr>
              <w:rPr>
                <w:sz w:val="20"/>
                <w:szCs w:val="20"/>
                <w:highlight w:val="cyan"/>
                <w:lang w:val="en-AU"/>
              </w:rPr>
            </w:pPr>
          </w:p>
        </w:tc>
        <w:tc>
          <w:tcPr>
            <w:tcW w:w="3119" w:type="dxa"/>
          </w:tcPr>
          <w:p w14:paraId="3EA79958" w14:textId="40CEFFE4" w:rsidR="007364D6" w:rsidRPr="006D7274" w:rsidRDefault="007364D6" w:rsidP="004F2323">
            <w:pPr>
              <w:spacing w:before="120" w:after="120"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lang w:val="en-GB"/>
              </w:rPr>
            </w:pPr>
            <w:r w:rsidRPr="006D7274">
              <w:rPr>
                <w:rFonts w:cstheme="minorHAnsi"/>
                <w:sz w:val="20"/>
                <w:szCs w:val="20"/>
                <w:lang w:val="en-GB"/>
              </w:rPr>
              <w:t>Demonstrate the applicant’s ability to undertake the proposed activities</w:t>
            </w:r>
            <w:r w:rsidR="006D7274">
              <w:rPr>
                <w:rFonts w:cstheme="minorHAnsi"/>
                <w:sz w:val="20"/>
                <w:szCs w:val="20"/>
                <w:lang w:val="en-GB"/>
              </w:rPr>
              <w:t xml:space="preserve"> / project</w:t>
            </w:r>
            <w:r w:rsidRPr="006D7274">
              <w:rPr>
                <w:rFonts w:cstheme="minorHAnsi"/>
                <w:sz w:val="20"/>
                <w:szCs w:val="20"/>
                <w:lang w:val="en-GB"/>
              </w:rPr>
              <w:t xml:space="preserve"> identified in the application</w:t>
            </w:r>
            <w:r w:rsidR="004F2323" w:rsidRPr="006D7274">
              <w:rPr>
                <w:rFonts w:cstheme="minorHAnsi"/>
                <w:sz w:val="20"/>
                <w:szCs w:val="20"/>
                <w:lang w:val="en-GB"/>
              </w:rPr>
              <w:t>.</w:t>
            </w:r>
          </w:p>
        </w:tc>
        <w:tc>
          <w:tcPr>
            <w:tcW w:w="3969" w:type="dxa"/>
          </w:tcPr>
          <w:p w14:paraId="3EB2A241" w14:textId="0D2C3588" w:rsidR="007364D6" w:rsidRPr="006D7274" w:rsidRDefault="007364D6" w:rsidP="004F2323">
            <w:pPr>
              <w:spacing w:before="120" w:after="120" w:line="276" w:lineRule="auto"/>
              <w:cnfStyle w:val="000000010000" w:firstRow="0" w:lastRow="0" w:firstColumn="0" w:lastColumn="0" w:oddVBand="0" w:evenVBand="0" w:oddHBand="0" w:evenHBand="1" w:firstRowFirstColumn="0" w:firstRowLastColumn="0" w:lastRowFirstColumn="0" w:lastRowLastColumn="0"/>
              <w:rPr>
                <w:rFonts w:cstheme="minorHAnsi"/>
                <w:b/>
                <w:bCs/>
                <w:sz w:val="20"/>
                <w:szCs w:val="20"/>
                <w:lang w:val="en-GB"/>
              </w:rPr>
            </w:pPr>
            <w:r w:rsidRPr="006D7274">
              <w:rPr>
                <w:rFonts w:cstheme="minorHAnsi"/>
                <w:b/>
                <w:bCs/>
                <w:sz w:val="20"/>
                <w:szCs w:val="20"/>
                <w:lang w:val="en-GB"/>
              </w:rPr>
              <w:t xml:space="preserve">Your response provided in the </w:t>
            </w:r>
            <w:r w:rsidR="0005728F" w:rsidRPr="006D7274">
              <w:rPr>
                <w:rFonts w:cstheme="minorHAnsi"/>
                <w:b/>
                <w:bCs/>
                <w:sz w:val="20"/>
                <w:szCs w:val="20"/>
                <w:lang w:val="en-GB"/>
              </w:rPr>
              <w:t>application</w:t>
            </w:r>
            <w:r w:rsidRPr="006D7274">
              <w:rPr>
                <w:rFonts w:cstheme="minorHAnsi"/>
                <w:b/>
                <w:bCs/>
                <w:sz w:val="20"/>
                <w:szCs w:val="20"/>
                <w:lang w:val="en-GB"/>
              </w:rPr>
              <w:t xml:space="preserve"> </w:t>
            </w:r>
            <w:r w:rsidR="0005728F" w:rsidRPr="006D7274">
              <w:rPr>
                <w:rFonts w:cstheme="minorHAnsi"/>
                <w:b/>
                <w:bCs/>
                <w:sz w:val="20"/>
                <w:szCs w:val="20"/>
                <w:lang w:val="en-GB"/>
              </w:rPr>
              <w:t xml:space="preserve">form </w:t>
            </w:r>
            <w:r w:rsidRPr="006D7274">
              <w:rPr>
                <w:rFonts w:cstheme="minorHAnsi"/>
                <w:b/>
                <w:bCs/>
                <w:sz w:val="20"/>
                <w:szCs w:val="20"/>
                <w:lang w:val="en-GB"/>
              </w:rPr>
              <w:t xml:space="preserve">must include: </w:t>
            </w:r>
          </w:p>
          <w:p w14:paraId="19C167BF" w14:textId="51008FE2" w:rsidR="004F2323" w:rsidRPr="006D7274" w:rsidRDefault="004F2323" w:rsidP="004F2323">
            <w:pPr>
              <w:pStyle w:val="ListParagraph"/>
              <w:numPr>
                <w:ilvl w:val="0"/>
                <w:numId w:val="17"/>
              </w:numPr>
              <w:tabs>
                <w:tab w:val="clear" w:pos="720"/>
                <w:tab w:val="left" w:pos="2835"/>
              </w:tabs>
              <w:spacing w:line="276" w:lineRule="auto"/>
              <w:ind w:left="225" w:hanging="225"/>
              <w:textboxTightWrap w:val="none"/>
              <w:cnfStyle w:val="000000010000" w:firstRow="0" w:lastRow="0" w:firstColumn="0" w:lastColumn="0" w:oddVBand="0" w:evenVBand="0" w:oddHBand="0" w:evenHBand="1" w:firstRowFirstColumn="0" w:firstRowLastColumn="0" w:lastRowFirstColumn="0" w:lastRowLastColumn="0"/>
              <w:rPr>
                <w:rFonts w:cstheme="minorHAnsi"/>
                <w:sz w:val="20"/>
                <w:szCs w:val="20"/>
                <w:lang w:val="en-GB"/>
              </w:rPr>
            </w:pPr>
            <w:r w:rsidRPr="006D7274">
              <w:rPr>
                <w:rFonts w:cstheme="minorHAnsi"/>
                <w:sz w:val="20"/>
                <w:szCs w:val="20"/>
                <w:lang w:val="en-GB"/>
              </w:rPr>
              <w:t xml:space="preserve">Evidence of capability and capacity to manage and meet requirements to deliver the proposed </w:t>
            </w:r>
            <w:r w:rsidR="006D7274">
              <w:rPr>
                <w:rFonts w:cstheme="minorHAnsi"/>
                <w:sz w:val="20"/>
                <w:szCs w:val="20"/>
                <w:lang w:val="en-GB"/>
              </w:rPr>
              <w:t>activities / project</w:t>
            </w:r>
            <w:r w:rsidRPr="006D7274">
              <w:rPr>
                <w:rFonts w:cstheme="minorHAnsi"/>
                <w:sz w:val="20"/>
                <w:szCs w:val="20"/>
                <w:lang w:val="en-GB"/>
              </w:rPr>
              <w:t>.</w:t>
            </w:r>
          </w:p>
          <w:p w14:paraId="476A175F" w14:textId="3759A1F3" w:rsidR="007364D6" w:rsidRPr="006D7274" w:rsidRDefault="004F2323" w:rsidP="004F2323">
            <w:pPr>
              <w:pStyle w:val="ListParagraph"/>
              <w:numPr>
                <w:ilvl w:val="0"/>
                <w:numId w:val="17"/>
              </w:numPr>
              <w:tabs>
                <w:tab w:val="clear" w:pos="720"/>
                <w:tab w:val="left" w:pos="2835"/>
              </w:tabs>
              <w:spacing w:line="276" w:lineRule="auto"/>
              <w:ind w:left="225" w:hanging="225"/>
              <w:textboxTightWrap w:val="none"/>
              <w:cnfStyle w:val="000000010000" w:firstRow="0" w:lastRow="0" w:firstColumn="0" w:lastColumn="0" w:oddVBand="0" w:evenVBand="0" w:oddHBand="0" w:evenHBand="1" w:firstRowFirstColumn="0" w:firstRowLastColumn="0" w:lastRowFirstColumn="0" w:lastRowLastColumn="0"/>
              <w:rPr>
                <w:sz w:val="20"/>
                <w:szCs w:val="20"/>
                <w:lang w:val="en-GB"/>
              </w:rPr>
            </w:pPr>
            <w:r w:rsidRPr="006D7274">
              <w:rPr>
                <w:sz w:val="20"/>
                <w:szCs w:val="20"/>
                <w:lang w:val="en-GB"/>
              </w:rPr>
              <w:t>E</w:t>
            </w:r>
            <w:r w:rsidR="007364D6" w:rsidRPr="006D7274">
              <w:rPr>
                <w:sz w:val="20"/>
                <w:szCs w:val="20"/>
                <w:lang w:val="en-GB"/>
              </w:rPr>
              <w:t xml:space="preserve">vidence of governance structures and roles </w:t>
            </w:r>
            <w:r w:rsidRPr="006D7274">
              <w:rPr>
                <w:sz w:val="20"/>
                <w:szCs w:val="20"/>
                <w:lang w:val="en-GB"/>
              </w:rPr>
              <w:t>including</w:t>
            </w:r>
            <w:r w:rsidR="007364D6" w:rsidRPr="006D7274">
              <w:rPr>
                <w:sz w:val="20"/>
                <w:szCs w:val="20"/>
                <w:lang w:val="en-GB"/>
              </w:rPr>
              <w:t xml:space="preserve"> responsibilities of key stakeholders involved</w:t>
            </w:r>
            <w:r w:rsidRPr="006D7274">
              <w:rPr>
                <w:sz w:val="20"/>
                <w:szCs w:val="20"/>
                <w:lang w:val="en-GB"/>
              </w:rPr>
              <w:t>.</w:t>
            </w:r>
          </w:p>
          <w:p w14:paraId="73D57501" w14:textId="77777777" w:rsidR="004F2323" w:rsidRPr="006D7274" w:rsidRDefault="004F2323" w:rsidP="004F2323">
            <w:pPr>
              <w:pStyle w:val="ListParagraph"/>
              <w:numPr>
                <w:ilvl w:val="0"/>
                <w:numId w:val="17"/>
              </w:numPr>
              <w:tabs>
                <w:tab w:val="clear" w:pos="720"/>
                <w:tab w:val="left" w:pos="2835"/>
              </w:tabs>
              <w:spacing w:line="276" w:lineRule="auto"/>
              <w:ind w:left="225" w:hanging="225"/>
              <w:textboxTightWrap w:val="none"/>
              <w:cnfStyle w:val="000000010000" w:firstRow="0" w:lastRow="0" w:firstColumn="0" w:lastColumn="0" w:oddVBand="0" w:evenVBand="0" w:oddHBand="0" w:evenHBand="1" w:firstRowFirstColumn="0" w:firstRowLastColumn="0" w:lastRowFirstColumn="0" w:lastRowLastColumn="0"/>
              <w:rPr>
                <w:sz w:val="20"/>
                <w:szCs w:val="20"/>
                <w:lang w:val="en-GB"/>
              </w:rPr>
            </w:pPr>
            <w:r w:rsidRPr="006D7274">
              <w:rPr>
                <w:sz w:val="20"/>
                <w:szCs w:val="20"/>
                <w:lang w:val="en-GB"/>
              </w:rPr>
              <w:t>E</w:t>
            </w:r>
            <w:r w:rsidR="007364D6" w:rsidRPr="006D7274">
              <w:rPr>
                <w:sz w:val="20"/>
                <w:szCs w:val="20"/>
                <w:lang w:val="en-GB"/>
              </w:rPr>
              <w:t xml:space="preserve">vidence of </w:t>
            </w:r>
            <w:r w:rsidRPr="006D7274">
              <w:rPr>
                <w:sz w:val="20"/>
                <w:szCs w:val="20"/>
                <w:lang w:val="en-GB"/>
              </w:rPr>
              <w:t xml:space="preserve">executive </w:t>
            </w:r>
            <w:r w:rsidR="007364D6" w:rsidRPr="006D7274">
              <w:rPr>
                <w:sz w:val="20"/>
                <w:szCs w:val="20"/>
                <w:lang w:val="en-GB"/>
              </w:rPr>
              <w:t xml:space="preserve">support </w:t>
            </w:r>
            <w:r w:rsidRPr="006D7274">
              <w:rPr>
                <w:sz w:val="20"/>
                <w:szCs w:val="20"/>
                <w:lang w:val="en-GB"/>
              </w:rPr>
              <w:t xml:space="preserve">(e.g. </w:t>
            </w:r>
            <w:r w:rsidR="007364D6" w:rsidRPr="006D7274">
              <w:rPr>
                <w:sz w:val="20"/>
                <w:szCs w:val="20"/>
                <w:lang w:val="en-GB"/>
              </w:rPr>
              <w:t>board, chief executive or equivalent</w:t>
            </w:r>
            <w:r w:rsidRPr="006D7274">
              <w:rPr>
                <w:sz w:val="20"/>
                <w:szCs w:val="20"/>
                <w:lang w:val="en-GB"/>
              </w:rPr>
              <w:t>).</w:t>
            </w:r>
          </w:p>
          <w:p w14:paraId="4C0F76F8" w14:textId="6B23463E" w:rsidR="007364D6" w:rsidRPr="006D7274" w:rsidRDefault="004F2323" w:rsidP="004F2323">
            <w:pPr>
              <w:pStyle w:val="ListParagraph"/>
              <w:numPr>
                <w:ilvl w:val="0"/>
                <w:numId w:val="17"/>
              </w:numPr>
              <w:tabs>
                <w:tab w:val="clear" w:pos="720"/>
                <w:tab w:val="left" w:pos="2835"/>
              </w:tabs>
              <w:spacing w:line="276" w:lineRule="auto"/>
              <w:ind w:left="225" w:hanging="225"/>
              <w:textboxTightWrap w:val="none"/>
              <w:cnfStyle w:val="000000010000" w:firstRow="0" w:lastRow="0" w:firstColumn="0" w:lastColumn="0" w:oddVBand="0" w:evenVBand="0" w:oddHBand="0" w:evenHBand="1" w:firstRowFirstColumn="0" w:firstRowLastColumn="0" w:lastRowFirstColumn="0" w:lastRowLastColumn="0"/>
              <w:rPr>
                <w:sz w:val="20"/>
                <w:szCs w:val="20"/>
                <w:lang w:val="en-GB"/>
              </w:rPr>
            </w:pPr>
            <w:r w:rsidRPr="006D7274">
              <w:rPr>
                <w:sz w:val="20"/>
                <w:szCs w:val="20"/>
                <w:lang w:val="en-GB"/>
              </w:rPr>
              <w:t>Demonstrable past experience including references (if applicable).</w:t>
            </w:r>
            <w:r w:rsidR="007364D6" w:rsidRPr="006D7274">
              <w:rPr>
                <w:sz w:val="20"/>
                <w:szCs w:val="20"/>
                <w:lang w:val="en-GB"/>
              </w:rPr>
              <w:t xml:space="preserve">  </w:t>
            </w:r>
          </w:p>
          <w:p w14:paraId="55F2A2E4" w14:textId="77777777" w:rsidR="00514982" w:rsidRPr="006D7274" w:rsidRDefault="00514982" w:rsidP="004F2323">
            <w:pPr>
              <w:pStyle w:val="ListParagraph"/>
              <w:numPr>
                <w:ilvl w:val="0"/>
                <w:numId w:val="17"/>
              </w:numPr>
              <w:tabs>
                <w:tab w:val="clear" w:pos="720"/>
                <w:tab w:val="left" w:pos="2835"/>
              </w:tabs>
              <w:spacing w:line="276" w:lineRule="auto"/>
              <w:ind w:left="225" w:hanging="225"/>
              <w:textboxTightWrap w:val="none"/>
              <w:cnfStyle w:val="000000010000" w:firstRow="0" w:lastRow="0" w:firstColumn="0" w:lastColumn="0" w:oddVBand="0" w:evenVBand="0" w:oddHBand="0" w:evenHBand="1" w:firstRowFirstColumn="0" w:firstRowLastColumn="0" w:lastRowFirstColumn="0" w:lastRowLastColumn="0"/>
              <w:rPr>
                <w:sz w:val="20"/>
                <w:szCs w:val="20"/>
              </w:rPr>
            </w:pPr>
            <w:r w:rsidRPr="006D7274">
              <w:rPr>
                <w:rFonts w:cstheme="minorHAnsi"/>
                <w:sz w:val="20"/>
                <w:szCs w:val="20"/>
                <w:lang w:val="en-GB"/>
              </w:rPr>
              <w:t>Evidence of implementation methodology and business processes including timeframes for completion / delivery.</w:t>
            </w:r>
          </w:p>
          <w:p w14:paraId="0853F1AC" w14:textId="3968B2DC" w:rsidR="007364D6" w:rsidRPr="006D7274" w:rsidRDefault="00514982" w:rsidP="004F2323">
            <w:pPr>
              <w:pStyle w:val="ListParagraph"/>
              <w:numPr>
                <w:ilvl w:val="0"/>
                <w:numId w:val="17"/>
              </w:numPr>
              <w:tabs>
                <w:tab w:val="clear" w:pos="720"/>
                <w:tab w:val="left" w:pos="2835"/>
              </w:tabs>
              <w:spacing w:line="276" w:lineRule="auto"/>
              <w:ind w:left="225" w:hanging="225"/>
              <w:textboxTightWrap w:val="none"/>
              <w:cnfStyle w:val="000000010000" w:firstRow="0" w:lastRow="0" w:firstColumn="0" w:lastColumn="0" w:oddVBand="0" w:evenVBand="0" w:oddHBand="0" w:evenHBand="1" w:firstRowFirstColumn="0" w:firstRowLastColumn="0" w:lastRowFirstColumn="0" w:lastRowLastColumn="0"/>
              <w:rPr>
                <w:sz w:val="20"/>
                <w:szCs w:val="20"/>
              </w:rPr>
            </w:pPr>
            <w:r w:rsidRPr="006D7274">
              <w:rPr>
                <w:rFonts w:cstheme="minorHAnsi"/>
                <w:sz w:val="20"/>
                <w:szCs w:val="20"/>
                <w:lang w:val="en-GB"/>
              </w:rPr>
              <w:t>Identification of key appropriate risks and mitigation strategies.</w:t>
            </w:r>
            <w:r w:rsidR="007364D6" w:rsidRPr="006D7274">
              <w:rPr>
                <w:rFonts w:cstheme="minorHAnsi"/>
                <w:sz w:val="20"/>
                <w:szCs w:val="20"/>
                <w:lang w:val="en-GB"/>
              </w:rPr>
              <w:t xml:space="preserve"> </w:t>
            </w:r>
          </w:p>
          <w:p w14:paraId="00A27014" w14:textId="6D5985D7" w:rsidR="00701A77" w:rsidRPr="006D7274" w:rsidRDefault="00701A77" w:rsidP="00701A77">
            <w:pPr>
              <w:pStyle w:val="ListParagraph"/>
              <w:numPr>
                <w:ilvl w:val="0"/>
                <w:numId w:val="17"/>
              </w:numPr>
              <w:tabs>
                <w:tab w:val="clear" w:pos="720"/>
                <w:tab w:val="left" w:pos="2835"/>
              </w:tabs>
              <w:spacing w:line="276" w:lineRule="auto"/>
              <w:ind w:left="225" w:hanging="225"/>
              <w:textboxTightWrap w:val="none"/>
              <w:cnfStyle w:val="000000010000" w:firstRow="0" w:lastRow="0" w:firstColumn="0" w:lastColumn="0" w:oddVBand="0" w:evenVBand="0" w:oddHBand="0" w:evenHBand="1" w:firstRowFirstColumn="0" w:firstRowLastColumn="0" w:lastRowFirstColumn="0" w:lastRowLastColumn="0"/>
              <w:rPr>
                <w:sz w:val="20"/>
                <w:szCs w:val="20"/>
              </w:rPr>
            </w:pPr>
            <w:r w:rsidRPr="006D7274">
              <w:rPr>
                <w:rFonts w:cstheme="minorHAnsi"/>
                <w:sz w:val="20"/>
                <w:szCs w:val="20"/>
                <w:lang w:val="en-GB"/>
              </w:rPr>
              <w:t xml:space="preserve">If a consortia application, please provide the legal names of all consortium members and a brief description of each member’s role in the delivery of the </w:t>
            </w:r>
            <w:r w:rsidR="006D7274">
              <w:rPr>
                <w:rFonts w:cstheme="minorHAnsi"/>
                <w:sz w:val="20"/>
                <w:szCs w:val="20"/>
                <w:lang w:val="en-GB"/>
              </w:rPr>
              <w:t>proposed activities / project</w:t>
            </w:r>
            <w:r w:rsidRPr="006D7274">
              <w:rPr>
                <w:rFonts w:cstheme="minorHAnsi"/>
                <w:sz w:val="20"/>
                <w:szCs w:val="20"/>
                <w:lang w:val="en-GB"/>
              </w:rPr>
              <w:t xml:space="preserve">. </w:t>
            </w:r>
          </w:p>
          <w:p w14:paraId="7F924190" w14:textId="3F345F04" w:rsidR="007364D6" w:rsidRPr="006D7274" w:rsidRDefault="007364D6" w:rsidP="004F2323">
            <w:pPr>
              <w:tabs>
                <w:tab w:val="left" w:pos="2835"/>
              </w:tabs>
              <w:spacing w:before="120" w:after="120" w:line="276" w:lineRule="auto"/>
              <w:cnfStyle w:val="000000010000" w:firstRow="0" w:lastRow="0" w:firstColumn="0" w:lastColumn="0" w:oddVBand="0" w:evenVBand="0" w:oddHBand="0" w:evenHBand="1" w:firstRowFirstColumn="0" w:firstRowLastColumn="0" w:lastRowFirstColumn="0" w:lastRowLastColumn="0"/>
              <w:rPr>
                <w:i/>
                <w:iCs/>
                <w:sz w:val="20"/>
                <w:szCs w:val="20"/>
              </w:rPr>
            </w:pPr>
            <w:r w:rsidRPr="006D7274">
              <w:rPr>
                <w:i/>
                <w:iCs/>
                <w:sz w:val="20"/>
                <w:szCs w:val="20"/>
              </w:rPr>
              <w:t xml:space="preserve">Applicants must also complete Attachment 1 – Risk </w:t>
            </w:r>
            <w:r w:rsidR="004F2323" w:rsidRPr="006D7274">
              <w:rPr>
                <w:i/>
                <w:iCs/>
                <w:sz w:val="20"/>
                <w:szCs w:val="20"/>
              </w:rPr>
              <w:t>M</w:t>
            </w:r>
            <w:r w:rsidRPr="006D7274">
              <w:rPr>
                <w:i/>
                <w:iCs/>
                <w:sz w:val="20"/>
                <w:szCs w:val="20"/>
              </w:rPr>
              <w:t xml:space="preserve">anagement </w:t>
            </w:r>
            <w:r w:rsidR="004F2323" w:rsidRPr="006D7274">
              <w:rPr>
                <w:i/>
                <w:iCs/>
                <w:sz w:val="20"/>
                <w:szCs w:val="20"/>
              </w:rPr>
              <w:t>P</w:t>
            </w:r>
            <w:r w:rsidRPr="006D7274">
              <w:rPr>
                <w:i/>
                <w:iCs/>
                <w:sz w:val="20"/>
                <w:szCs w:val="20"/>
              </w:rPr>
              <w:t xml:space="preserve">lan. </w:t>
            </w:r>
          </w:p>
        </w:tc>
        <w:tc>
          <w:tcPr>
            <w:tcW w:w="1417" w:type="dxa"/>
          </w:tcPr>
          <w:p w14:paraId="28EA27DA" w14:textId="059510CA" w:rsidR="007364D6" w:rsidRPr="006D7274" w:rsidRDefault="007364D6" w:rsidP="004F2323">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b/>
                <w:sz w:val="20"/>
                <w:szCs w:val="20"/>
                <w:highlight w:val="cyan"/>
                <w:lang w:val="en-AU"/>
              </w:rPr>
            </w:pPr>
            <w:r w:rsidRPr="006D7274">
              <w:rPr>
                <w:b/>
                <w:sz w:val="20"/>
                <w:szCs w:val="20"/>
                <w:lang w:val="en-AU"/>
              </w:rPr>
              <w:t>25</w:t>
            </w:r>
            <w:r w:rsidR="001A0765" w:rsidRPr="006D7274">
              <w:rPr>
                <w:b/>
                <w:sz w:val="20"/>
                <w:szCs w:val="20"/>
                <w:lang w:val="en-AU"/>
              </w:rPr>
              <w:t>%</w:t>
            </w:r>
          </w:p>
        </w:tc>
      </w:tr>
      <w:tr w:rsidR="007364D6" w:rsidRPr="00B839E9" w14:paraId="590F782D" w14:textId="77777777" w:rsidTr="00514982">
        <w:trPr>
          <w:cnfStyle w:val="000000100000" w:firstRow="0" w:lastRow="0" w:firstColumn="0" w:lastColumn="0" w:oddVBand="0" w:evenVBand="0" w:oddHBand="1" w:evenHBand="0" w:firstRowFirstColumn="0" w:firstRowLastColumn="0" w:lastRowFirstColumn="0" w:lastRowLastColumn="0"/>
          <w:trHeight w:val="1775"/>
        </w:trPr>
        <w:tc>
          <w:tcPr>
            <w:cnfStyle w:val="001000000000" w:firstRow="0" w:lastRow="0" w:firstColumn="1" w:lastColumn="0" w:oddVBand="0" w:evenVBand="0" w:oddHBand="0" w:evenHBand="0" w:firstRowFirstColumn="0" w:firstRowLastColumn="0" w:lastRowFirstColumn="0" w:lastRowLastColumn="0"/>
            <w:tcW w:w="1560" w:type="dxa"/>
          </w:tcPr>
          <w:p w14:paraId="504A455C" w14:textId="77777777" w:rsidR="007364D6" w:rsidRPr="006D7274" w:rsidRDefault="007364D6" w:rsidP="00F651BE">
            <w:pPr>
              <w:spacing w:before="120" w:after="120"/>
              <w:rPr>
                <w:b/>
                <w:bCs w:val="0"/>
                <w:sz w:val="20"/>
                <w:szCs w:val="20"/>
                <w:lang w:val="en-AU"/>
              </w:rPr>
            </w:pPr>
            <w:r w:rsidRPr="006D7274">
              <w:rPr>
                <w:b/>
                <w:bCs w:val="0"/>
                <w:sz w:val="20"/>
                <w:szCs w:val="20"/>
                <w:lang w:eastAsia="en-AU"/>
              </w:rPr>
              <w:t>Criteria 3: Efficient and effective use of funding</w:t>
            </w:r>
          </w:p>
        </w:tc>
        <w:tc>
          <w:tcPr>
            <w:tcW w:w="3119" w:type="dxa"/>
          </w:tcPr>
          <w:p w14:paraId="4C53BCCD" w14:textId="3FF6FCFD" w:rsidR="007364D6" w:rsidRPr="006D7274" w:rsidRDefault="00514982" w:rsidP="00514982">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D7274">
              <w:rPr>
                <w:rFonts w:cstheme="minorHAnsi"/>
                <w:sz w:val="20"/>
                <w:szCs w:val="20"/>
                <w:lang w:val="en-GB"/>
              </w:rPr>
              <w:t>Application</w:t>
            </w:r>
            <w:r w:rsidR="007364D6" w:rsidRPr="006D7274">
              <w:rPr>
                <w:rFonts w:cstheme="minorHAnsi"/>
                <w:sz w:val="20"/>
                <w:szCs w:val="20"/>
                <w:lang w:val="en-GB"/>
              </w:rPr>
              <w:t xml:space="preserve"> must demonstrate efficient, effective, economical, and ethical expenditure of funds</w:t>
            </w:r>
            <w:r w:rsidRPr="006D7274">
              <w:rPr>
                <w:rFonts w:cstheme="minorHAnsi"/>
                <w:sz w:val="20"/>
                <w:szCs w:val="20"/>
                <w:lang w:val="en-GB"/>
              </w:rPr>
              <w:t xml:space="preserve"> to deliver </w:t>
            </w:r>
            <w:r w:rsidR="006D7274">
              <w:rPr>
                <w:rFonts w:cstheme="minorHAnsi"/>
                <w:sz w:val="20"/>
                <w:szCs w:val="20"/>
                <w:lang w:val="en-GB"/>
              </w:rPr>
              <w:t xml:space="preserve">the </w:t>
            </w:r>
            <w:r w:rsidRPr="006D7274">
              <w:rPr>
                <w:rFonts w:cstheme="minorHAnsi"/>
                <w:sz w:val="20"/>
                <w:szCs w:val="20"/>
                <w:lang w:val="en-GB"/>
              </w:rPr>
              <w:t>proposed activities</w:t>
            </w:r>
            <w:r w:rsidR="006D7274">
              <w:rPr>
                <w:rFonts w:cstheme="minorHAnsi"/>
                <w:sz w:val="20"/>
                <w:szCs w:val="20"/>
                <w:lang w:val="en-GB"/>
              </w:rPr>
              <w:t xml:space="preserve"> / project</w:t>
            </w:r>
            <w:r w:rsidRPr="006D7274">
              <w:rPr>
                <w:rFonts w:cstheme="minorHAnsi"/>
                <w:sz w:val="20"/>
                <w:szCs w:val="20"/>
                <w:lang w:val="en-GB"/>
              </w:rPr>
              <w:t>.</w:t>
            </w:r>
          </w:p>
          <w:p w14:paraId="437EF145" w14:textId="77777777" w:rsidR="007364D6" w:rsidRPr="006D7274" w:rsidRDefault="007364D6" w:rsidP="00514982">
            <w:pPr>
              <w:spacing w:before="120" w:after="120" w:line="276" w:lineRule="auto"/>
              <w:cnfStyle w:val="000000100000" w:firstRow="0" w:lastRow="0" w:firstColumn="0" w:lastColumn="0" w:oddVBand="0" w:evenVBand="0" w:oddHBand="1" w:evenHBand="0" w:firstRowFirstColumn="0" w:firstRowLastColumn="0" w:lastRowFirstColumn="0" w:lastRowLastColumn="0"/>
              <w:rPr>
                <w:sz w:val="20"/>
                <w:szCs w:val="20"/>
                <w:lang w:val="en-AU"/>
              </w:rPr>
            </w:pPr>
          </w:p>
        </w:tc>
        <w:tc>
          <w:tcPr>
            <w:tcW w:w="3969" w:type="dxa"/>
          </w:tcPr>
          <w:p w14:paraId="77FAB403" w14:textId="740E4818" w:rsidR="007364D6" w:rsidRPr="006D7274" w:rsidRDefault="007364D6" w:rsidP="00514982">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GB"/>
              </w:rPr>
            </w:pPr>
            <w:r w:rsidRPr="006D7274">
              <w:rPr>
                <w:rFonts w:cstheme="minorHAnsi"/>
                <w:b/>
                <w:bCs/>
                <w:sz w:val="20"/>
                <w:szCs w:val="20"/>
                <w:lang w:val="en-GB"/>
              </w:rPr>
              <w:t xml:space="preserve">Your response provided in the </w:t>
            </w:r>
            <w:r w:rsidR="0005728F" w:rsidRPr="006D7274">
              <w:rPr>
                <w:rFonts w:cstheme="minorHAnsi"/>
                <w:b/>
                <w:bCs/>
                <w:sz w:val="20"/>
                <w:szCs w:val="20"/>
                <w:lang w:val="en-GB"/>
              </w:rPr>
              <w:t>application form</w:t>
            </w:r>
            <w:r w:rsidRPr="006D7274">
              <w:rPr>
                <w:rFonts w:cstheme="minorHAnsi"/>
                <w:b/>
                <w:bCs/>
                <w:sz w:val="20"/>
                <w:szCs w:val="20"/>
                <w:lang w:val="en-GB"/>
              </w:rPr>
              <w:t xml:space="preserve"> must include: </w:t>
            </w:r>
          </w:p>
          <w:p w14:paraId="41C37DEB" w14:textId="54A7124C" w:rsidR="00701A77" w:rsidRPr="006D7274" w:rsidRDefault="007364D6" w:rsidP="00514982">
            <w:pPr>
              <w:pStyle w:val="ListParagraph"/>
              <w:numPr>
                <w:ilvl w:val="0"/>
                <w:numId w:val="19"/>
              </w:numPr>
              <w:tabs>
                <w:tab w:val="clear" w:pos="720"/>
                <w:tab w:val="num" w:pos="141"/>
              </w:tabs>
              <w:spacing w:line="276" w:lineRule="auto"/>
              <w:ind w:left="141" w:hanging="141"/>
              <w:cnfStyle w:val="000000100000" w:firstRow="0" w:lastRow="0" w:firstColumn="0" w:lastColumn="0" w:oddVBand="0" w:evenVBand="0" w:oddHBand="1" w:evenHBand="0" w:firstRowFirstColumn="0" w:firstRowLastColumn="0" w:lastRowFirstColumn="0" w:lastRowLastColumn="0"/>
              <w:rPr>
                <w:sz w:val="20"/>
                <w:szCs w:val="20"/>
              </w:rPr>
            </w:pPr>
            <w:r w:rsidRPr="006D7274">
              <w:rPr>
                <w:rFonts w:cstheme="minorHAnsi"/>
                <w:sz w:val="20"/>
                <w:szCs w:val="20"/>
                <w:lang w:val="en-GB"/>
              </w:rPr>
              <w:t xml:space="preserve">A description of how you will ensure the efficient and economical use of funding when delivering </w:t>
            </w:r>
            <w:r w:rsidR="00514982" w:rsidRPr="006D7274">
              <w:rPr>
                <w:rFonts w:cstheme="minorHAnsi"/>
                <w:sz w:val="20"/>
                <w:szCs w:val="20"/>
                <w:lang w:val="en-GB"/>
              </w:rPr>
              <w:t>the proposed</w:t>
            </w:r>
            <w:r w:rsidRPr="006D7274">
              <w:rPr>
                <w:rFonts w:cstheme="minorHAnsi"/>
                <w:sz w:val="20"/>
                <w:szCs w:val="20"/>
                <w:lang w:val="en-GB"/>
              </w:rPr>
              <w:t xml:space="preserve"> activities</w:t>
            </w:r>
            <w:r w:rsidR="006D7274">
              <w:rPr>
                <w:rFonts w:cstheme="minorHAnsi"/>
                <w:sz w:val="20"/>
                <w:szCs w:val="20"/>
                <w:lang w:val="en-GB"/>
              </w:rPr>
              <w:t xml:space="preserve"> / project</w:t>
            </w:r>
            <w:r w:rsidRPr="006D7274">
              <w:rPr>
                <w:rFonts w:cstheme="minorHAnsi"/>
                <w:sz w:val="20"/>
                <w:szCs w:val="20"/>
                <w:lang w:val="en-GB"/>
              </w:rPr>
              <w:t xml:space="preserve">. </w:t>
            </w:r>
          </w:p>
          <w:p w14:paraId="67D8D006" w14:textId="2A24BF88" w:rsidR="007364D6" w:rsidRPr="006D7274" w:rsidRDefault="006D7274" w:rsidP="00514982">
            <w:pPr>
              <w:pStyle w:val="ListParagraph"/>
              <w:numPr>
                <w:ilvl w:val="0"/>
                <w:numId w:val="19"/>
              </w:numPr>
              <w:tabs>
                <w:tab w:val="clear" w:pos="720"/>
                <w:tab w:val="num" w:pos="141"/>
              </w:tabs>
              <w:spacing w:line="276" w:lineRule="auto"/>
              <w:ind w:left="141" w:hanging="141"/>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sz w:val="20"/>
                <w:szCs w:val="20"/>
                <w:lang w:val="en-GB"/>
              </w:rPr>
              <w:t>H</w:t>
            </w:r>
            <w:r w:rsidR="007364D6" w:rsidRPr="006D7274">
              <w:rPr>
                <w:rFonts w:cstheme="minorHAnsi"/>
                <w:sz w:val="20"/>
                <w:szCs w:val="20"/>
                <w:lang w:val="en-GB"/>
              </w:rPr>
              <w:t xml:space="preserve">ow the </w:t>
            </w:r>
            <w:r>
              <w:rPr>
                <w:rFonts w:cstheme="minorHAnsi"/>
                <w:sz w:val="20"/>
                <w:szCs w:val="20"/>
                <w:lang w:val="en-GB"/>
              </w:rPr>
              <w:t xml:space="preserve">proposed </w:t>
            </w:r>
            <w:r w:rsidR="007364D6" w:rsidRPr="006D7274">
              <w:rPr>
                <w:rFonts w:cstheme="minorHAnsi"/>
                <w:sz w:val="20"/>
                <w:szCs w:val="20"/>
                <w:lang w:val="en-GB"/>
              </w:rPr>
              <w:t>activities</w:t>
            </w:r>
            <w:r>
              <w:rPr>
                <w:rFonts w:cstheme="minorHAnsi"/>
                <w:sz w:val="20"/>
                <w:szCs w:val="20"/>
                <w:lang w:val="en-GB"/>
              </w:rPr>
              <w:t xml:space="preserve"> / project</w:t>
            </w:r>
            <w:r w:rsidR="007364D6" w:rsidRPr="006D7274">
              <w:rPr>
                <w:rFonts w:cstheme="minorHAnsi"/>
                <w:sz w:val="20"/>
                <w:szCs w:val="20"/>
                <w:lang w:val="en-GB"/>
              </w:rPr>
              <w:t xml:space="preserve"> will achieve high quality outcomes in a cost-effective way.</w:t>
            </w:r>
          </w:p>
          <w:p w14:paraId="03B1569E" w14:textId="69BE6C8D" w:rsidR="007364D6" w:rsidRPr="006D7274" w:rsidRDefault="007364D6" w:rsidP="00514982">
            <w:pPr>
              <w:tabs>
                <w:tab w:val="left" w:pos="2835"/>
              </w:tabs>
              <w:spacing w:before="120" w:after="12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D7274">
              <w:rPr>
                <w:i/>
                <w:iCs/>
                <w:sz w:val="20"/>
                <w:szCs w:val="20"/>
              </w:rPr>
              <w:t xml:space="preserve">Applicants must also complete Attachment 2 – Budget </w:t>
            </w:r>
            <w:r w:rsidR="004F2323" w:rsidRPr="006D7274">
              <w:rPr>
                <w:i/>
                <w:iCs/>
                <w:sz w:val="20"/>
                <w:szCs w:val="20"/>
              </w:rPr>
              <w:t>P</w:t>
            </w:r>
            <w:r w:rsidRPr="006D7274">
              <w:rPr>
                <w:i/>
                <w:iCs/>
                <w:sz w:val="20"/>
                <w:szCs w:val="20"/>
              </w:rPr>
              <w:t>lan.</w:t>
            </w:r>
          </w:p>
        </w:tc>
        <w:tc>
          <w:tcPr>
            <w:tcW w:w="1417" w:type="dxa"/>
          </w:tcPr>
          <w:p w14:paraId="4554961C" w14:textId="6A72C7EA" w:rsidR="007364D6" w:rsidRPr="006D7274" w:rsidRDefault="007364D6" w:rsidP="0051498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b/>
                <w:sz w:val="20"/>
                <w:szCs w:val="20"/>
                <w:lang w:val="en-AU"/>
              </w:rPr>
            </w:pPr>
            <w:r w:rsidRPr="006D7274">
              <w:rPr>
                <w:b/>
                <w:sz w:val="20"/>
                <w:szCs w:val="20"/>
                <w:lang w:val="en-AU"/>
              </w:rPr>
              <w:t>25</w:t>
            </w:r>
            <w:r w:rsidR="001A0765" w:rsidRPr="006D7274">
              <w:rPr>
                <w:b/>
                <w:sz w:val="20"/>
                <w:szCs w:val="20"/>
                <w:lang w:val="en-AU"/>
              </w:rPr>
              <w:t>%</w:t>
            </w:r>
          </w:p>
        </w:tc>
      </w:tr>
    </w:tbl>
    <w:p w14:paraId="497C2736" w14:textId="77777777" w:rsidR="007364D6" w:rsidRDefault="007364D6" w:rsidP="007364D6">
      <w:pPr>
        <w:jc w:val="both"/>
        <w:rPr>
          <w:lang w:eastAsia="en-AU"/>
        </w:rPr>
      </w:pPr>
    </w:p>
    <w:p w14:paraId="5A6CCD10" w14:textId="77777777" w:rsidR="002F090F" w:rsidRDefault="002F090F" w:rsidP="007364D6">
      <w:pPr>
        <w:jc w:val="both"/>
        <w:rPr>
          <w:lang w:eastAsia="en-AU"/>
        </w:rPr>
      </w:pPr>
    </w:p>
    <w:p w14:paraId="797668D6" w14:textId="77777777" w:rsidR="002F090F" w:rsidRDefault="002F090F" w:rsidP="007364D6">
      <w:pPr>
        <w:jc w:val="both"/>
        <w:rPr>
          <w:lang w:eastAsia="en-AU"/>
        </w:rPr>
      </w:pPr>
    </w:p>
    <w:p w14:paraId="0A717AB3" w14:textId="77777777" w:rsidR="002F090F" w:rsidRDefault="002F090F" w:rsidP="007364D6">
      <w:pPr>
        <w:jc w:val="both"/>
        <w:rPr>
          <w:lang w:eastAsia="en-AU"/>
        </w:rPr>
      </w:pPr>
    </w:p>
    <w:p w14:paraId="73A2D2AD" w14:textId="7A9EA60E" w:rsidR="00B53CE9" w:rsidRPr="00EF393D" w:rsidRDefault="00B53CE9" w:rsidP="00B53CE9">
      <w:pPr>
        <w:pStyle w:val="Heading2"/>
        <w:rPr>
          <w:b/>
          <w:bCs/>
          <w:sz w:val="32"/>
          <w:szCs w:val="32"/>
        </w:rPr>
      </w:pPr>
      <w:r w:rsidRPr="00EF393D">
        <w:rPr>
          <w:b/>
          <w:bCs/>
          <w:sz w:val="32"/>
          <w:szCs w:val="32"/>
        </w:rPr>
        <w:lastRenderedPageBreak/>
        <w:t xml:space="preserve">Assessment </w:t>
      </w:r>
      <w:r>
        <w:rPr>
          <w:b/>
          <w:bCs/>
          <w:sz w:val="32"/>
          <w:szCs w:val="32"/>
        </w:rPr>
        <w:t>process</w:t>
      </w:r>
    </w:p>
    <w:p w14:paraId="50DF4064" w14:textId="06040235" w:rsidR="0091679C" w:rsidRDefault="0091679C" w:rsidP="00B53CE9">
      <w:pPr>
        <w:spacing w:before="120" w:after="120"/>
      </w:pPr>
      <w:r w:rsidRPr="00314D78">
        <w:t xml:space="preserve">The Funding Assessment Committee </w:t>
      </w:r>
      <w:r w:rsidR="00F47A7F">
        <w:t xml:space="preserve">(FAC) </w:t>
      </w:r>
      <w:r w:rsidRPr="00314D78">
        <w:t xml:space="preserve">will be chaired by </w:t>
      </w:r>
      <w:r w:rsidR="00500792" w:rsidRPr="00314D78">
        <w:t xml:space="preserve">the Director, MAPAU </w:t>
      </w:r>
      <w:r w:rsidRPr="00314D78">
        <w:t>and comprised of representatives from</w:t>
      </w:r>
      <w:r w:rsidR="00500792" w:rsidRPr="00314D78">
        <w:t xml:space="preserve"> both metropolitan and regional</w:t>
      </w:r>
      <w:r w:rsidRPr="00314D78">
        <w:t xml:space="preserve"> </w:t>
      </w:r>
      <w:r w:rsidR="009C7746" w:rsidRPr="00314D78">
        <w:t>h</w:t>
      </w:r>
      <w:r w:rsidR="00500792" w:rsidRPr="00314D78">
        <w:t xml:space="preserve">ospital and </w:t>
      </w:r>
      <w:r w:rsidR="009C7746" w:rsidRPr="00314D78">
        <w:t>h</w:t>
      </w:r>
      <w:r w:rsidR="00500792" w:rsidRPr="00314D78">
        <w:t xml:space="preserve">ealth </w:t>
      </w:r>
      <w:r w:rsidR="009C7746" w:rsidRPr="00314D78">
        <w:t>s</w:t>
      </w:r>
      <w:r w:rsidR="00500792" w:rsidRPr="00314D78">
        <w:t xml:space="preserve">ervices </w:t>
      </w:r>
      <w:r w:rsidR="000B4B6C" w:rsidRPr="00314D78">
        <w:t>and from within the Department of Health</w:t>
      </w:r>
      <w:r w:rsidRPr="00314D78">
        <w:t>.</w:t>
      </w:r>
      <w:r>
        <w:t xml:space="preserve"> </w:t>
      </w:r>
    </w:p>
    <w:p w14:paraId="297F361F" w14:textId="4329D250" w:rsidR="00B53CE9" w:rsidRDefault="00B53CE9" w:rsidP="00B53CE9">
      <w:pPr>
        <w:spacing w:before="120" w:after="120"/>
      </w:pPr>
      <w:r>
        <w:t xml:space="preserve">Eligible applications will be evaluated by </w:t>
      </w:r>
      <w:r w:rsidR="0091679C">
        <w:t>the</w:t>
      </w:r>
      <w:r>
        <w:t xml:space="preserve"> </w:t>
      </w:r>
      <w:r w:rsidR="00A63176">
        <w:t>FAC</w:t>
      </w:r>
      <w:r>
        <w:t xml:space="preserve"> against the information provided and how they respond to the assessment criteria </w:t>
      </w:r>
      <w:r w:rsidR="0091679C">
        <w:t>using</w:t>
      </w:r>
      <w:r>
        <w:t xml:space="preserve"> the following scoring method</w:t>
      </w:r>
      <w:r w:rsidR="00955E6B">
        <w:t>.</w:t>
      </w:r>
    </w:p>
    <w:tbl>
      <w:tblPr>
        <w:tblStyle w:val="GridTable5Dark-Accent1"/>
        <w:tblW w:w="0" w:type="auto"/>
        <w:tblLook w:val="04A0" w:firstRow="1" w:lastRow="0" w:firstColumn="1" w:lastColumn="0" w:noHBand="0" w:noVBand="1"/>
      </w:tblPr>
      <w:tblGrid>
        <w:gridCol w:w="1552"/>
        <w:gridCol w:w="5536"/>
        <w:gridCol w:w="1701"/>
      </w:tblGrid>
      <w:tr w:rsidR="00514982" w:rsidRPr="006F3C56" w14:paraId="7BB38D26" w14:textId="77777777" w:rsidTr="005149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2" w:type="dxa"/>
          </w:tcPr>
          <w:p w14:paraId="0DFB98E8" w14:textId="77777777" w:rsidR="00514982" w:rsidRPr="006D7274" w:rsidRDefault="00514982" w:rsidP="00514982">
            <w:pPr>
              <w:spacing w:before="120" w:after="120" w:line="276" w:lineRule="auto"/>
              <w:jc w:val="both"/>
              <w:rPr>
                <w:rFonts w:ascii="Fira Sans" w:hAnsi="Fira Sans"/>
                <w:b/>
                <w:bCs w:val="0"/>
                <w:sz w:val="20"/>
                <w:szCs w:val="20"/>
                <w:lang w:eastAsia="en-AU"/>
              </w:rPr>
            </w:pPr>
            <w:r w:rsidRPr="006D7274">
              <w:rPr>
                <w:rFonts w:ascii="Fira Sans" w:hAnsi="Fira Sans"/>
                <w:b/>
                <w:bCs w:val="0"/>
                <w:sz w:val="20"/>
                <w:szCs w:val="20"/>
                <w:lang w:eastAsia="en-AU"/>
              </w:rPr>
              <w:t>Rating scale</w:t>
            </w:r>
          </w:p>
        </w:tc>
        <w:tc>
          <w:tcPr>
            <w:tcW w:w="5536" w:type="dxa"/>
          </w:tcPr>
          <w:p w14:paraId="0825B754" w14:textId="3A953231" w:rsidR="00514982" w:rsidRPr="006D7274" w:rsidRDefault="0091679C" w:rsidP="00514982">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Fira Sans" w:hAnsi="Fira Sans"/>
                <w:b/>
                <w:bCs w:val="0"/>
                <w:sz w:val="20"/>
                <w:szCs w:val="20"/>
                <w:lang w:eastAsia="en-AU"/>
              </w:rPr>
            </w:pPr>
            <w:r>
              <w:rPr>
                <w:rFonts w:ascii="Fira Sans" w:hAnsi="Fira Sans"/>
                <w:b/>
                <w:bCs w:val="0"/>
                <w:sz w:val="20"/>
                <w:szCs w:val="20"/>
                <w:lang w:eastAsia="en-AU"/>
              </w:rPr>
              <w:t>D</w:t>
            </w:r>
            <w:r w:rsidR="00514982" w:rsidRPr="006D7274">
              <w:rPr>
                <w:rFonts w:ascii="Fira Sans" w:hAnsi="Fira Sans"/>
                <w:b/>
                <w:bCs w:val="0"/>
                <w:sz w:val="20"/>
                <w:szCs w:val="20"/>
                <w:lang w:eastAsia="en-AU"/>
              </w:rPr>
              <w:t>escription</w:t>
            </w:r>
          </w:p>
        </w:tc>
        <w:tc>
          <w:tcPr>
            <w:tcW w:w="1701" w:type="dxa"/>
          </w:tcPr>
          <w:p w14:paraId="29F6CA17" w14:textId="2EAA30E3" w:rsidR="00514982" w:rsidRPr="006D7274" w:rsidRDefault="00514982" w:rsidP="009A549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Fira Sans" w:hAnsi="Fira Sans"/>
                <w:b/>
                <w:bCs w:val="0"/>
                <w:sz w:val="20"/>
                <w:szCs w:val="20"/>
                <w:lang w:eastAsia="en-AU"/>
              </w:rPr>
            </w:pPr>
            <w:r w:rsidRPr="006D7274">
              <w:rPr>
                <w:rFonts w:ascii="Fira Sans" w:hAnsi="Fira Sans"/>
                <w:b/>
                <w:bCs w:val="0"/>
                <w:sz w:val="20"/>
                <w:szCs w:val="20"/>
                <w:lang w:eastAsia="en-AU"/>
              </w:rPr>
              <w:t>Score</w:t>
            </w:r>
          </w:p>
        </w:tc>
      </w:tr>
      <w:tr w:rsidR="00514982" w:rsidRPr="006F3C56" w14:paraId="7B8F0BAE" w14:textId="77777777" w:rsidTr="00514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323ADEDF" w14:textId="77777777" w:rsidR="00514982" w:rsidRPr="006D7274" w:rsidRDefault="00514982" w:rsidP="00514982">
            <w:pPr>
              <w:spacing w:before="120" w:after="120" w:line="276" w:lineRule="auto"/>
              <w:jc w:val="both"/>
              <w:rPr>
                <w:b/>
                <w:bCs w:val="0"/>
                <w:sz w:val="20"/>
                <w:szCs w:val="20"/>
                <w:lang w:eastAsia="en-AU"/>
              </w:rPr>
            </w:pPr>
            <w:r w:rsidRPr="006D7274">
              <w:rPr>
                <w:b/>
                <w:bCs w:val="0"/>
                <w:sz w:val="20"/>
                <w:szCs w:val="20"/>
                <w:lang w:eastAsia="en-AU"/>
              </w:rPr>
              <w:t>Exceptional</w:t>
            </w:r>
          </w:p>
        </w:tc>
        <w:tc>
          <w:tcPr>
            <w:tcW w:w="5536" w:type="dxa"/>
          </w:tcPr>
          <w:p w14:paraId="1784D26D" w14:textId="67DBA4CF" w:rsidR="00514982" w:rsidRPr="006D7274" w:rsidRDefault="00514982" w:rsidP="00314D78">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color w:val="3A3E3E" w:themeColor="background2" w:themeShade="40"/>
                <w:sz w:val="20"/>
                <w:szCs w:val="20"/>
              </w:rPr>
            </w:pPr>
            <w:r w:rsidRPr="006D7274">
              <w:rPr>
                <w:color w:val="3A3E3E" w:themeColor="background2" w:themeShade="40"/>
                <w:sz w:val="20"/>
                <w:szCs w:val="20"/>
              </w:rPr>
              <w:t xml:space="preserve">Outstandingly exceeds the requirements for the criterion. The application is very well detailed with very strong evidence to support claims against the criterion.  </w:t>
            </w:r>
          </w:p>
        </w:tc>
        <w:tc>
          <w:tcPr>
            <w:tcW w:w="1701" w:type="dxa"/>
          </w:tcPr>
          <w:p w14:paraId="5D896907" w14:textId="17D03D69" w:rsidR="00514982" w:rsidRPr="006D7274" w:rsidRDefault="00514982" w:rsidP="0051498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10</w:t>
            </w:r>
          </w:p>
        </w:tc>
      </w:tr>
      <w:tr w:rsidR="00514982" w:rsidRPr="006F3C56" w14:paraId="520138F6" w14:textId="77777777" w:rsidTr="005149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39BFFFC2" w14:textId="4C021F90" w:rsidR="00514982" w:rsidRPr="006D7274" w:rsidRDefault="00514982" w:rsidP="00514982">
            <w:pPr>
              <w:spacing w:before="120" w:after="120" w:line="276" w:lineRule="auto"/>
              <w:jc w:val="both"/>
              <w:rPr>
                <w:b/>
                <w:bCs w:val="0"/>
                <w:sz w:val="20"/>
                <w:szCs w:val="20"/>
                <w:lang w:eastAsia="en-AU"/>
              </w:rPr>
            </w:pPr>
            <w:r w:rsidRPr="006D7274">
              <w:rPr>
                <w:b/>
                <w:bCs w:val="0"/>
                <w:sz w:val="20"/>
                <w:szCs w:val="20"/>
                <w:lang w:eastAsia="en-AU"/>
              </w:rPr>
              <w:t>Excellent</w:t>
            </w:r>
          </w:p>
        </w:tc>
        <w:tc>
          <w:tcPr>
            <w:tcW w:w="5536" w:type="dxa"/>
          </w:tcPr>
          <w:p w14:paraId="15C37E89" w14:textId="744186EE" w:rsidR="00514982" w:rsidRPr="006D7274" w:rsidRDefault="00514982" w:rsidP="00314D78">
            <w:pPr>
              <w:pStyle w:val="Default"/>
              <w:spacing w:before="120" w:after="120" w:line="276" w:lineRule="auto"/>
              <w:cnfStyle w:val="000000010000" w:firstRow="0" w:lastRow="0" w:firstColumn="0" w:lastColumn="0" w:oddVBand="0" w:evenVBand="0" w:oddHBand="0" w:evenHBand="1" w:firstRowFirstColumn="0" w:firstRowLastColumn="0" w:lastRowFirstColumn="0" w:lastRowLastColumn="0"/>
              <w:rPr>
                <w:color w:val="3A3E3E" w:themeColor="background2" w:themeShade="40"/>
                <w:sz w:val="20"/>
                <w:szCs w:val="20"/>
              </w:rPr>
            </w:pPr>
            <w:r w:rsidRPr="006D7274">
              <w:rPr>
                <w:color w:val="3A3E3E" w:themeColor="background2" w:themeShade="40"/>
                <w:sz w:val="20"/>
                <w:szCs w:val="20"/>
              </w:rPr>
              <w:t>Significantly exceeds the requirements for the criterion. The application is well detailed with strong evidence to support claims against the criterion.</w:t>
            </w:r>
          </w:p>
        </w:tc>
        <w:tc>
          <w:tcPr>
            <w:tcW w:w="1701" w:type="dxa"/>
          </w:tcPr>
          <w:p w14:paraId="07DA0512" w14:textId="1240964B" w:rsidR="00514982" w:rsidRPr="006D7274" w:rsidRDefault="00514982" w:rsidP="00514982">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sz w:val="20"/>
                <w:szCs w:val="20"/>
                <w:lang w:eastAsia="en-AU"/>
              </w:rPr>
            </w:pPr>
            <w:r w:rsidRPr="006D7274">
              <w:rPr>
                <w:sz w:val="20"/>
                <w:szCs w:val="20"/>
                <w:lang w:eastAsia="en-AU"/>
              </w:rPr>
              <w:t>8-9</w:t>
            </w:r>
          </w:p>
        </w:tc>
      </w:tr>
      <w:tr w:rsidR="00514982" w:rsidRPr="006F3C56" w14:paraId="7F4AB4B4" w14:textId="77777777" w:rsidTr="00514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13F322C4" w14:textId="0716E4D9" w:rsidR="00514982" w:rsidRPr="006D7274" w:rsidRDefault="00514982" w:rsidP="00514982">
            <w:pPr>
              <w:spacing w:before="120" w:after="120" w:line="276" w:lineRule="auto"/>
              <w:jc w:val="both"/>
              <w:rPr>
                <w:b/>
                <w:bCs w:val="0"/>
                <w:sz w:val="20"/>
                <w:szCs w:val="20"/>
                <w:lang w:eastAsia="en-AU"/>
              </w:rPr>
            </w:pPr>
            <w:r w:rsidRPr="006D7274">
              <w:rPr>
                <w:b/>
                <w:bCs w:val="0"/>
                <w:sz w:val="20"/>
                <w:szCs w:val="20"/>
                <w:lang w:eastAsia="en-AU"/>
              </w:rPr>
              <w:t>Good</w:t>
            </w:r>
          </w:p>
        </w:tc>
        <w:tc>
          <w:tcPr>
            <w:tcW w:w="5536" w:type="dxa"/>
          </w:tcPr>
          <w:p w14:paraId="7189742B" w14:textId="274D34B9" w:rsidR="00514982" w:rsidRPr="006D7274" w:rsidRDefault="00514982" w:rsidP="00314D78">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color w:val="3A3E3E" w:themeColor="background2" w:themeShade="40"/>
                <w:sz w:val="20"/>
                <w:szCs w:val="20"/>
              </w:rPr>
            </w:pPr>
            <w:r w:rsidRPr="006D7274">
              <w:rPr>
                <w:color w:val="3A3E3E" w:themeColor="background2" w:themeShade="40"/>
                <w:sz w:val="20"/>
                <w:szCs w:val="20"/>
              </w:rPr>
              <w:t>Better than meets requirements. The application is adequately detailed and includes sufficient evidence to support claims against the criterion.</w:t>
            </w:r>
          </w:p>
        </w:tc>
        <w:tc>
          <w:tcPr>
            <w:tcW w:w="1701" w:type="dxa"/>
          </w:tcPr>
          <w:p w14:paraId="413A93F3" w14:textId="7630E04F" w:rsidR="00514982" w:rsidRPr="006D7274" w:rsidRDefault="00514982" w:rsidP="0051498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6-7</w:t>
            </w:r>
          </w:p>
        </w:tc>
      </w:tr>
      <w:tr w:rsidR="00514982" w:rsidRPr="006F3C56" w14:paraId="76864ECB" w14:textId="77777777" w:rsidTr="005149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1C33D8F6" w14:textId="4495B456" w:rsidR="00514982" w:rsidRPr="006D7274" w:rsidRDefault="00514982" w:rsidP="00514982">
            <w:pPr>
              <w:spacing w:before="120" w:after="120" w:line="276" w:lineRule="auto"/>
              <w:jc w:val="both"/>
              <w:rPr>
                <w:b/>
                <w:bCs w:val="0"/>
                <w:sz w:val="20"/>
                <w:szCs w:val="20"/>
                <w:lang w:eastAsia="en-AU"/>
              </w:rPr>
            </w:pPr>
            <w:r w:rsidRPr="006D7274">
              <w:rPr>
                <w:b/>
                <w:bCs w:val="0"/>
                <w:sz w:val="20"/>
                <w:szCs w:val="20"/>
                <w:lang w:eastAsia="en-AU"/>
              </w:rPr>
              <w:t>Reasonable</w:t>
            </w:r>
          </w:p>
        </w:tc>
        <w:tc>
          <w:tcPr>
            <w:tcW w:w="5536" w:type="dxa"/>
          </w:tcPr>
          <w:p w14:paraId="0C172984" w14:textId="4BA559C0" w:rsidR="00514982" w:rsidRPr="006D7274" w:rsidRDefault="009A549E" w:rsidP="00314D78">
            <w:pPr>
              <w:pStyle w:val="Default"/>
              <w:spacing w:before="120" w:after="120" w:line="276" w:lineRule="auto"/>
              <w:cnfStyle w:val="000000010000" w:firstRow="0" w:lastRow="0" w:firstColumn="0" w:lastColumn="0" w:oddVBand="0" w:evenVBand="0" w:oddHBand="0" w:evenHBand="1" w:firstRowFirstColumn="0" w:firstRowLastColumn="0" w:lastRowFirstColumn="0" w:lastRowLastColumn="0"/>
              <w:rPr>
                <w:color w:val="3A3E3E" w:themeColor="background2" w:themeShade="40"/>
                <w:sz w:val="20"/>
                <w:szCs w:val="20"/>
              </w:rPr>
            </w:pPr>
            <w:r w:rsidRPr="006D7274">
              <w:rPr>
                <w:color w:val="3A3E3E" w:themeColor="background2" w:themeShade="40"/>
                <w:sz w:val="20"/>
                <w:szCs w:val="20"/>
              </w:rPr>
              <w:t>Meets requirements.</w:t>
            </w:r>
          </w:p>
        </w:tc>
        <w:tc>
          <w:tcPr>
            <w:tcW w:w="1701" w:type="dxa"/>
          </w:tcPr>
          <w:p w14:paraId="6FA05FC0" w14:textId="4C1A2AFD" w:rsidR="00514982" w:rsidRPr="006D7274" w:rsidRDefault="00514982" w:rsidP="00514982">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sz w:val="20"/>
                <w:szCs w:val="20"/>
                <w:lang w:eastAsia="en-AU"/>
              </w:rPr>
            </w:pPr>
            <w:r w:rsidRPr="006D7274">
              <w:rPr>
                <w:sz w:val="20"/>
                <w:szCs w:val="20"/>
                <w:lang w:eastAsia="en-AU"/>
              </w:rPr>
              <w:t>5</w:t>
            </w:r>
          </w:p>
        </w:tc>
      </w:tr>
      <w:tr w:rsidR="00514982" w:rsidRPr="006F3C56" w14:paraId="33B9287C" w14:textId="77777777" w:rsidTr="00514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5A6462C6" w14:textId="7538202C" w:rsidR="00514982" w:rsidRPr="006D7274" w:rsidRDefault="00514982" w:rsidP="00514982">
            <w:pPr>
              <w:spacing w:before="120" w:after="120" w:line="276" w:lineRule="auto"/>
              <w:jc w:val="both"/>
              <w:rPr>
                <w:b/>
                <w:bCs w:val="0"/>
                <w:sz w:val="20"/>
                <w:szCs w:val="20"/>
                <w:lang w:eastAsia="en-AU"/>
              </w:rPr>
            </w:pPr>
            <w:r w:rsidRPr="006D7274">
              <w:rPr>
                <w:b/>
                <w:bCs w:val="0"/>
                <w:sz w:val="20"/>
                <w:szCs w:val="20"/>
                <w:lang w:eastAsia="en-AU"/>
              </w:rPr>
              <w:t>Limited</w:t>
            </w:r>
          </w:p>
        </w:tc>
        <w:tc>
          <w:tcPr>
            <w:tcW w:w="5536" w:type="dxa"/>
          </w:tcPr>
          <w:p w14:paraId="582E392B" w14:textId="48DC701B" w:rsidR="00514982" w:rsidRPr="006D7274" w:rsidRDefault="009A549E" w:rsidP="00314D78">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color w:val="3A3E3E" w:themeColor="background2" w:themeShade="40"/>
                <w:sz w:val="20"/>
                <w:szCs w:val="20"/>
              </w:rPr>
            </w:pPr>
            <w:r w:rsidRPr="006D7274">
              <w:rPr>
                <w:color w:val="3A3E3E" w:themeColor="background2" w:themeShade="40"/>
                <w:sz w:val="20"/>
                <w:szCs w:val="20"/>
              </w:rPr>
              <w:t>Only meets some of the requirements for the criterion.</w:t>
            </w:r>
          </w:p>
        </w:tc>
        <w:tc>
          <w:tcPr>
            <w:tcW w:w="1701" w:type="dxa"/>
          </w:tcPr>
          <w:p w14:paraId="00540E67" w14:textId="5593F5DF" w:rsidR="00514982" w:rsidRPr="006D7274" w:rsidRDefault="00514982" w:rsidP="0051498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3-4</w:t>
            </w:r>
          </w:p>
        </w:tc>
      </w:tr>
      <w:tr w:rsidR="00514982" w:rsidRPr="006F3C56" w14:paraId="767CA2F0" w14:textId="77777777" w:rsidTr="005149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70C711D9" w14:textId="616DCDEA" w:rsidR="00514982" w:rsidRPr="006D7274" w:rsidRDefault="00514982" w:rsidP="00514982">
            <w:pPr>
              <w:spacing w:before="120" w:after="120" w:line="276" w:lineRule="auto"/>
              <w:jc w:val="both"/>
              <w:rPr>
                <w:b/>
                <w:bCs w:val="0"/>
                <w:sz w:val="20"/>
                <w:szCs w:val="20"/>
                <w:lang w:eastAsia="en-AU"/>
              </w:rPr>
            </w:pPr>
            <w:r w:rsidRPr="006D7274">
              <w:rPr>
                <w:b/>
                <w:bCs w:val="0"/>
                <w:sz w:val="20"/>
                <w:szCs w:val="20"/>
                <w:lang w:eastAsia="en-AU"/>
              </w:rPr>
              <w:t>Inadequate</w:t>
            </w:r>
          </w:p>
        </w:tc>
        <w:tc>
          <w:tcPr>
            <w:tcW w:w="5536" w:type="dxa"/>
          </w:tcPr>
          <w:p w14:paraId="2004B76E" w14:textId="3A36A5A1" w:rsidR="00514982" w:rsidRPr="006D7274" w:rsidRDefault="00514982" w:rsidP="00314D78">
            <w:pPr>
              <w:pStyle w:val="Default"/>
              <w:spacing w:before="120" w:after="120" w:line="276" w:lineRule="auto"/>
              <w:cnfStyle w:val="000000010000" w:firstRow="0" w:lastRow="0" w:firstColumn="0" w:lastColumn="0" w:oddVBand="0" w:evenVBand="0" w:oddHBand="0" w:evenHBand="1" w:firstRowFirstColumn="0" w:firstRowLastColumn="0" w:lastRowFirstColumn="0" w:lastRowLastColumn="0"/>
              <w:rPr>
                <w:color w:val="3A3E3E" w:themeColor="background2" w:themeShade="40"/>
                <w:sz w:val="20"/>
                <w:szCs w:val="20"/>
              </w:rPr>
            </w:pPr>
            <w:r w:rsidRPr="006D7274">
              <w:rPr>
                <w:color w:val="3A3E3E" w:themeColor="background2" w:themeShade="40"/>
                <w:sz w:val="20"/>
                <w:szCs w:val="20"/>
              </w:rPr>
              <w:t>Little achievement of the requirements for the criterion. Weaknesses or omissions, which are very difficult to correct/overcome in order to make acceptable.</w:t>
            </w:r>
          </w:p>
        </w:tc>
        <w:tc>
          <w:tcPr>
            <w:tcW w:w="1701" w:type="dxa"/>
          </w:tcPr>
          <w:p w14:paraId="6FFDCBB4" w14:textId="7D642622" w:rsidR="00514982" w:rsidRPr="006D7274" w:rsidRDefault="00514982" w:rsidP="00514982">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sz w:val="20"/>
                <w:szCs w:val="20"/>
                <w:lang w:eastAsia="en-AU"/>
              </w:rPr>
            </w:pPr>
            <w:r w:rsidRPr="006D7274">
              <w:rPr>
                <w:sz w:val="20"/>
                <w:szCs w:val="20"/>
                <w:lang w:eastAsia="en-AU"/>
              </w:rPr>
              <w:t>1-2</w:t>
            </w:r>
          </w:p>
        </w:tc>
      </w:tr>
      <w:tr w:rsidR="00514982" w:rsidRPr="006F3C56" w14:paraId="23463035" w14:textId="77777777" w:rsidTr="00514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22B81373" w14:textId="706A3CDF" w:rsidR="00514982" w:rsidRPr="006D7274" w:rsidRDefault="00514982" w:rsidP="00514982">
            <w:pPr>
              <w:spacing w:before="120" w:after="120" w:line="276" w:lineRule="auto"/>
              <w:jc w:val="both"/>
              <w:rPr>
                <w:b/>
                <w:bCs w:val="0"/>
                <w:sz w:val="20"/>
                <w:szCs w:val="20"/>
                <w:lang w:eastAsia="en-AU"/>
              </w:rPr>
            </w:pPr>
            <w:r w:rsidRPr="006D7274">
              <w:rPr>
                <w:b/>
                <w:bCs w:val="0"/>
                <w:sz w:val="20"/>
                <w:szCs w:val="20"/>
                <w:lang w:eastAsia="en-AU"/>
              </w:rPr>
              <w:t>Unacceptable</w:t>
            </w:r>
          </w:p>
        </w:tc>
        <w:tc>
          <w:tcPr>
            <w:tcW w:w="5536" w:type="dxa"/>
          </w:tcPr>
          <w:p w14:paraId="0ACEF0C8" w14:textId="4F690EB0" w:rsidR="00514982" w:rsidRPr="006D7274" w:rsidRDefault="009A549E" w:rsidP="00314D78">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color w:val="3A3E3E" w:themeColor="background2" w:themeShade="40"/>
                <w:sz w:val="20"/>
                <w:szCs w:val="20"/>
              </w:rPr>
            </w:pPr>
            <w:r w:rsidRPr="006D7274">
              <w:rPr>
                <w:color w:val="3A3E3E" w:themeColor="background2" w:themeShade="40"/>
                <w:sz w:val="20"/>
                <w:szCs w:val="20"/>
              </w:rPr>
              <w:t>Non-compliant for the criterion.</w:t>
            </w:r>
          </w:p>
        </w:tc>
        <w:tc>
          <w:tcPr>
            <w:tcW w:w="1701" w:type="dxa"/>
          </w:tcPr>
          <w:p w14:paraId="3FF7DF81" w14:textId="0617E0CA" w:rsidR="00514982" w:rsidRPr="006D7274" w:rsidRDefault="00514982" w:rsidP="0051498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6D7274">
              <w:rPr>
                <w:sz w:val="20"/>
                <w:szCs w:val="20"/>
                <w:lang w:eastAsia="en-AU"/>
              </w:rPr>
              <w:t>0</w:t>
            </w:r>
          </w:p>
        </w:tc>
      </w:tr>
    </w:tbl>
    <w:p w14:paraId="4AE0B9F2" w14:textId="77777777" w:rsidR="002F090F" w:rsidRDefault="002F090F" w:rsidP="007364D6">
      <w:pPr>
        <w:jc w:val="both"/>
        <w:rPr>
          <w:lang w:eastAsia="en-AU"/>
        </w:rPr>
      </w:pPr>
    </w:p>
    <w:p w14:paraId="6E81DE27" w14:textId="3B9DD278" w:rsidR="00955E6B" w:rsidRDefault="00955E6B" w:rsidP="00955E6B">
      <w:pPr>
        <w:spacing w:before="120" w:after="120"/>
        <w:rPr>
          <w:lang w:eastAsia="en-AU"/>
        </w:rPr>
      </w:pPr>
      <w:r>
        <w:rPr>
          <w:lang w:eastAsia="en-AU"/>
        </w:rPr>
        <w:t xml:space="preserve">Following an assessment of all eligible applications, applications will be ranked in order of merit </w:t>
      </w:r>
      <w:r w:rsidR="00E23988">
        <w:rPr>
          <w:lang w:eastAsia="en-AU"/>
        </w:rPr>
        <w:t xml:space="preserve">and divided </w:t>
      </w:r>
      <w:r>
        <w:rPr>
          <w:lang w:eastAsia="en-AU"/>
        </w:rPr>
        <w:t>into one of the three categories</w:t>
      </w:r>
      <w:r w:rsidR="007D054B">
        <w:rPr>
          <w:lang w:eastAsia="en-AU"/>
        </w:rPr>
        <w:t xml:space="preserve"> listed below</w:t>
      </w:r>
      <w:r w:rsidR="00E23988">
        <w:rPr>
          <w:lang w:eastAsia="en-AU"/>
        </w:rPr>
        <w:t xml:space="preserve">. The order of selection </w:t>
      </w:r>
      <w:r w:rsidR="007D054B">
        <w:rPr>
          <w:lang w:eastAsia="en-AU"/>
        </w:rPr>
        <w:t xml:space="preserve">for funding </w:t>
      </w:r>
      <w:r w:rsidR="00E23988">
        <w:rPr>
          <w:lang w:eastAsia="en-AU"/>
        </w:rPr>
        <w:t xml:space="preserve">will be consistent with the ranked order of the assessment process with the number of applicants shortlisted as competitive to be determined by the </w:t>
      </w:r>
      <w:r w:rsidR="00A63176">
        <w:rPr>
          <w:lang w:eastAsia="en-AU"/>
        </w:rPr>
        <w:t>FAC</w:t>
      </w:r>
      <w:r w:rsidR="00E23988">
        <w:rPr>
          <w:lang w:eastAsia="en-AU"/>
        </w:rPr>
        <w:t xml:space="preserve"> taking into consideration the quantum of funding requested</w:t>
      </w:r>
      <w:r>
        <w:rPr>
          <w:lang w:eastAsia="en-AU"/>
        </w:rPr>
        <w:t>.</w:t>
      </w:r>
    </w:p>
    <w:p w14:paraId="30A01D09" w14:textId="5961065C" w:rsidR="00A63176" w:rsidRDefault="00A63176" w:rsidP="00955E6B">
      <w:pPr>
        <w:spacing w:before="120" w:after="120"/>
        <w:rPr>
          <w:lang w:eastAsia="en-AU"/>
        </w:rPr>
      </w:pPr>
      <w:r>
        <w:rPr>
          <w:lang w:eastAsia="en-AU"/>
        </w:rPr>
        <w:t xml:space="preserve">At the discretion of the FAC, applications may be recommended for funding in full or in part (i.e. essential budget items only).  </w:t>
      </w:r>
    </w:p>
    <w:p w14:paraId="03EA37CE" w14:textId="05ED29D6" w:rsidR="00955E6B" w:rsidRDefault="00955E6B" w:rsidP="00955E6B">
      <w:pPr>
        <w:spacing w:before="120" w:after="120"/>
        <w:rPr>
          <w:lang w:eastAsia="en-AU"/>
        </w:rPr>
      </w:pPr>
      <w:r>
        <w:t xml:space="preserve">At the conclusion of </w:t>
      </w:r>
      <w:r w:rsidR="007D054B">
        <w:t>this</w:t>
      </w:r>
      <w:r>
        <w:t xml:space="preserve"> process, the </w:t>
      </w:r>
      <w:r w:rsidR="00A63176">
        <w:t>FAC</w:t>
      </w:r>
      <w:r>
        <w:t xml:space="preserve"> will provide a recommendation to the Deputy Director-General, Clinical Planning and Service Strategy Division, Department of Health as the final decision maker with all outcomes to be advised in writing.</w:t>
      </w:r>
    </w:p>
    <w:p w14:paraId="0345C6DD" w14:textId="77777777" w:rsidR="009A549E" w:rsidRDefault="009A549E" w:rsidP="007364D6">
      <w:pPr>
        <w:jc w:val="both"/>
        <w:rPr>
          <w:lang w:eastAsia="en-AU"/>
        </w:rPr>
      </w:pPr>
    </w:p>
    <w:tbl>
      <w:tblPr>
        <w:tblStyle w:val="GridTable5Dark-Accent1"/>
        <w:tblW w:w="0" w:type="auto"/>
        <w:tblLook w:val="04A0" w:firstRow="1" w:lastRow="0" w:firstColumn="1" w:lastColumn="0" w:noHBand="0" w:noVBand="1"/>
      </w:tblPr>
      <w:tblGrid>
        <w:gridCol w:w="2694"/>
        <w:gridCol w:w="6143"/>
      </w:tblGrid>
      <w:tr w:rsidR="008A3A09" w:rsidRPr="00514982" w14:paraId="07C6FE79" w14:textId="77777777" w:rsidTr="009167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Pr>
          <w:p w14:paraId="285B8CB1" w14:textId="6F4173DF" w:rsidR="008A3A09" w:rsidRPr="0091679C" w:rsidRDefault="008A3A09" w:rsidP="001447CF">
            <w:pPr>
              <w:spacing w:before="120" w:after="120" w:line="276" w:lineRule="auto"/>
              <w:jc w:val="both"/>
              <w:rPr>
                <w:rFonts w:ascii="Fira Sans" w:hAnsi="Fira Sans"/>
                <w:b/>
                <w:bCs w:val="0"/>
                <w:sz w:val="20"/>
                <w:szCs w:val="20"/>
                <w:lang w:eastAsia="en-AU"/>
              </w:rPr>
            </w:pPr>
            <w:bookmarkStart w:id="2" w:name="_Hlk130913479"/>
            <w:r w:rsidRPr="0091679C">
              <w:rPr>
                <w:rFonts w:ascii="Fira Sans" w:hAnsi="Fira Sans"/>
                <w:b/>
                <w:bCs w:val="0"/>
                <w:sz w:val="20"/>
                <w:szCs w:val="20"/>
                <w:lang w:eastAsia="en-AU"/>
              </w:rPr>
              <w:t>Category</w:t>
            </w:r>
          </w:p>
        </w:tc>
        <w:tc>
          <w:tcPr>
            <w:tcW w:w="6143" w:type="dxa"/>
          </w:tcPr>
          <w:p w14:paraId="5B311FD1" w14:textId="288A0A50" w:rsidR="008A3A09" w:rsidRPr="0091679C" w:rsidRDefault="008A3A09" w:rsidP="001447CF">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Fira Sans" w:hAnsi="Fira Sans"/>
                <w:b/>
                <w:bCs w:val="0"/>
                <w:sz w:val="20"/>
                <w:szCs w:val="20"/>
                <w:lang w:eastAsia="en-AU"/>
              </w:rPr>
            </w:pPr>
            <w:r w:rsidRPr="0091679C">
              <w:rPr>
                <w:rFonts w:ascii="Fira Sans" w:hAnsi="Fira Sans"/>
                <w:b/>
                <w:bCs w:val="0"/>
                <w:sz w:val="20"/>
                <w:szCs w:val="20"/>
                <w:lang w:eastAsia="en-AU"/>
              </w:rPr>
              <w:t>Description</w:t>
            </w:r>
          </w:p>
        </w:tc>
      </w:tr>
      <w:tr w:rsidR="008A3A09" w:rsidRPr="00514982" w14:paraId="46924D3F" w14:textId="77777777" w:rsidTr="0091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81D1BA8" w14:textId="30E3768E" w:rsidR="008A3A09" w:rsidRPr="0091679C" w:rsidRDefault="008A3A09" w:rsidP="00955E6B">
            <w:pPr>
              <w:spacing w:before="120" w:after="120" w:line="276" w:lineRule="auto"/>
              <w:rPr>
                <w:b/>
                <w:bCs w:val="0"/>
                <w:sz w:val="20"/>
                <w:szCs w:val="20"/>
                <w:lang w:eastAsia="en-AU"/>
              </w:rPr>
            </w:pPr>
            <w:r w:rsidRPr="0091679C">
              <w:rPr>
                <w:b/>
                <w:bCs w:val="0"/>
                <w:sz w:val="20"/>
                <w:szCs w:val="20"/>
                <w:lang w:eastAsia="en-AU"/>
              </w:rPr>
              <w:t>Competitive – priority 1</w:t>
            </w:r>
          </w:p>
        </w:tc>
        <w:tc>
          <w:tcPr>
            <w:tcW w:w="6143" w:type="dxa"/>
          </w:tcPr>
          <w:p w14:paraId="0FBAE29D" w14:textId="760ECADF" w:rsidR="008A3A09" w:rsidRPr="0091679C" w:rsidRDefault="00955E6B" w:rsidP="00955E6B">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color w:val="3A3E3E" w:themeColor="background2" w:themeShade="40"/>
                <w:sz w:val="20"/>
                <w:szCs w:val="20"/>
              </w:rPr>
            </w:pPr>
            <w:r>
              <w:rPr>
                <w:color w:val="3A3E3E" w:themeColor="background2" w:themeShade="40"/>
                <w:sz w:val="20"/>
                <w:szCs w:val="20"/>
              </w:rPr>
              <w:t xml:space="preserve">Application ranked as first </w:t>
            </w:r>
            <w:r w:rsidR="008A3A09" w:rsidRPr="0091679C">
              <w:rPr>
                <w:color w:val="3A3E3E" w:themeColor="background2" w:themeShade="40"/>
                <w:sz w:val="20"/>
                <w:szCs w:val="20"/>
              </w:rPr>
              <w:t>preference for funding consideration.</w:t>
            </w:r>
          </w:p>
        </w:tc>
      </w:tr>
      <w:tr w:rsidR="008A3A09" w:rsidRPr="00514982" w14:paraId="57E5B7ED" w14:textId="77777777" w:rsidTr="00916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5AA4D50" w14:textId="31166C3B" w:rsidR="008A3A09" w:rsidRPr="0091679C" w:rsidRDefault="008A3A09" w:rsidP="00955E6B">
            <w:pPr>
              <w:spacing w:before="120" w:after="120" w:line="276" w:lineRule="auto"/>
              <w:rPr>
                <w:b/>
                <w:bCs w:val="0"/>
                <w:sz w:val="20"/>
                <w:szCs w:val="20"/>
                <w:lang w:eastAsia="en-AU"/>
              </w:rPr>
            </w:pPr>
            <w:r w:rsidRPr="0091679C">
              <w:rPr>
                <w:b/>
                <w:bCs w:val="0"/>
                <w:sz w:val="20"/>
                <w:szCs w:val="20"/>
                <w:lang w:eastAsia="en-AU"/>
              </w:rPr>
              <w:t>Competitive – priority 2</w:t>
            </w:r>
          </w:p>
        </w:tc>
        <w:tc>
          <w:tcPr>
            <w:tcW w:w="6143" w:type="dxa"/>
          </w:tcPr>
          <w:p w14:paraId="2164F7B1" w14:textId="7A3DEB53" w:rsidR="008A3A09" w:rsidRPr="0091679C" w:rsidRDefault="00955E6B" w:rsidP="00955E6B">
            <w:pPr>
              <w:pStyle w:val="Default"/>
              <w:spacing w:before="120" w:after="120" w:line="276" w:lineRule="auto"/>
              <w:cnfStyle w:val="000000010000" w:firstRow="0" w:lastRow="0" w:firstColumn="0" w:lastColumn="0" w:oddVBand="0" w:evenVBand="0" w:oddHBand="0" w:evenHBand="1" w:firstRowFirstColumn="0" w:firstRowLastColumn="0" w:lastRowFirstColumn="0" w:lastRowLastColumn="0"/>
              <w:rPr>
                <w:color w:val="3A3E3E" w:themeColor="background2" w:themeShade="40"/>
                <w:sz w:val="20"/>
                <w:szCs w:val="20"/>
              </w:rPr>
            </w:pPr>
            <w:r>
              <w:rPr>
                <w:color w:val="3A3E3E" w:themeColor="background2" w:themeShade="40"/>
                <w:sz w:val="20"/>
                <w:szCs w:val="20"/>
              </w:rPr>
              <w:t>Application ranked as second preference for funding consideration and placed on r</w:t>
            </w:r>
            <w:r w:rsidR="008A3A09" w:rsidRPr="0091679C">
              <w:rPr>
                <w:color w:val="3A3E3E" w:themeColor="background2" w:themeShade="40"/>
                <w:sz w:val="20"/>
                <w:szCs w:val="20"/>
              </w:rPr>
              <w:t>eserve list.</w:t>
            </w:r>
          </w:p>
        </w:tc>
      </w:tr>
      <w:tr w:rsidR="008A3A09" w:rsidRPr="00514982" w14:paraId="4B711DA2" w14:textId="77777777" w:rsidTr="0091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2CDF290" w14:textId="38B83104" w:rsidR="008A3A09" w:rsidRPr="0091679C" w:rsidRDefault="008A3A09" w:rsidP="00955E6B">
            <w:pPr>
              <w:spacing w:before="120" w:after="120" w:line="276" w:lineRule="auto"/>
              <w:rPr>
                <w:b/>
                <w:bCs w:val="0"/>
                <w:sz w:val="20"/>
                <w:szCs w:val="20"/>
                <w:lang w:eastAsia="en-AU"/>
              </w:rPr>
            </w:pPr>
            <w:r w:rsidRPr="0091679C">
              <w:rPr>
                <w:b/>
                <w:bCs w:val="0"/>
                <w:sz w:val="20"/>
                <w:szCs w:val="20"/>
                <w:lang w:eastAsia="en-AU"/>
              </w:rPr>
              <w:t>Uncompetitive</w:t>
            </w:r>
          </w:p>
        </w:tc>
        <w:tc>
          <w:tcPr>
            <w:tcW w:w="6143" w:type="dxa"/>
          </w:tcPr>
          <w:p w14:paraId="51DF54A1" w14:textId="269E1CA9" w:rsidR="008A3A09" w:rsidRPr="0091679C" w:rsidRDefault="00955E6B" w:rsidP="00955E6B">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color w:val="3A3E3E" w:themeColor="background2" w:themeShade="40"/>
                <w:sz w:val="20"/>
                <w:szCs w:val="20"/>
              </w:rPr>
            </w:pPr>
            <w:r>
              <w:rPr>
                <w:color w:val="3A3E3E" w:themeColor="background2" w:themeShade="40"/>
                <w:sz w:val="20"/>
                <w:szCs w:val="20"/>
              </w:rPr>
              <w:t>Application ranked as unsuccessful and not consideration for funding.</w:t>
            </w:r>
            <w:r w:rsidR="009925AE">
              <w:rPr>
                <w:color w:val="3A3E3E" w:themeColor="background2" w:themeShade="40"/>
                <w:sz w:val="20"/>
                <w:szCs w:val="20"/>
              </w:rPr>
              <w:t xml:space="preserve"> Feedback will be provided upon request in writing.</w:t>
            </w:r>
          </w:p>
        </w:tc>
      </w:tr>
      <w:bookmarkEnd w:id="2"/>
    </w:tbl>
    <w:p w14:paraId="442C3BBC" w14:textId="77777777" w:rsidR="00F001F8" w:rsidRPr="00F001F8" w:rsidRDefault="00F001F8" w:rsidP="00F001F8">
      <w:pPr>
        <w:spacing w:before="120" w:after="120"/>
      </w:pPr>
    </w:p>
    <w:p w14:paraId="1E04969A" w14:textId="1FCADA7A" w:rsidR="006D2BCA" w:rsidRPr="00EF393D" w:rsidRDefault="0091679C" w:rsidP="006D2BCA">
      <w:pPr>
        <w:pStyle w:val="Heading2"/>
        <w:rPr>
          <w:b/>
          <w:bCs/>
          <w:sz w:val="32"/>
          <w:szCs w:val="32"/>
        </w:rPr>
      </w:pPr>
      <w:r>
        <w:rPr>
          <w:b/>
          <w:bCs/>
          <w:sz w:val="32"/>
          <w:szCs w:val="32"/>
        </w:rPr>
        <w:t>Reporting and evaluation</w:t>
      </w:r>
    </w:p>
    <w:p w14:paraId="39E39545" w14:textId="2B172661" w:rsidR="00602FBA" w:rsidRDefault="00602FBA" w:rsidP="001447CF">
      <w:pPr>
        <w:spacing w:before="120" w:after="120"/>
        <w:rPr>
          <w:lang w:val="en-AU"/>
        </w:rPr>
      </w:pPr>
      <w:r>
        <w:rPr>
          <w:lang w:val="en-AU"/>
        </w:rPr>
        <w:t>Funding recipients will be responsible for:</w:t>
      </w:r>
    </w:p>
    <w:p w14:paraId="453569DE" w14:textId="7F44B74C" w:rsidR="001447CF" w:rsidRDefault="00955E6B" w:rsidP="001447CF">
      <w:pPr>
        <w:pStyle w:val="ListParagraph"/>
        <w:numPr>
          <w:ilvl w:val="0"/>
          <w:numId w:val="33"/>
        </w:numPr>
      </w:pPr>
      <w:r>
        <w:t>Timely c</w:t>
      </w:r>
      <w:r w:rsidR="001447CF">
        <w:t>ompletion of funding outcome reports as requested by MAPAU</w:t>
      </w:r>
      <w:r>
        <w:t xml:space="preserve"> including advice of any emergent issues that may impact on the success of the funded activities / project</w:t>
      </w:r>
      <w:r w:rsidR="001447CF">
        <w:t>.</w:t>
      </w:r>
    </w:p>
    <w:p w14:paraId="32282B62" w14:textId="2F89DBE5" w:rsidR="00602FBA" w:rsidRDefault="00602FBA" w:rsidP="001447CF">
      <w:pPr>
        <w:pStyle w:val="ListParagraph"/>
        <w:numPr>
          <w:ilvl w:val="0"/>
          <w:numId w:val="33"/>
        </w:numPr>
      </w:pPr>
      <w:r>
        <w:t>Ensuring that the terms and conditions of the funding are met and that funded activities</w:t>
      </w:r>
      <w:r w:rsidR="00955E6B">
        <w:t xml:space="preserve"> / projects</w:t>
      </w:r>
      <w:r>
        <w:t xml:space="preserve"> are managed in an effective and efficient manner.</w:t>
      </w:r>
    </w:p>
    <w:p w14:paraId="56C5AB1F" w14:textId="4CCAD6A9" w:rsidR="00F001F8" w:rsidRDefault="00F001F8" w:rsidP="00F001F8">
      <w:pPr>
        <w:pStyle w:val="ListParagraph"/>
        <w:numPr>
          <w:ilvl w:val="0"/>
          <w:numId w:val="33"/>
        </w:numPr>
      </w:pPr>
      <w:r>
        <w:t>Ensuring that the funded activities / project outputs and outcomes are in accordance with the funding agreement.</w:t>
      </w:r>
    </w:p>
    <w:p w14:paraId="0FF64A5D" w14:textId="2E3525D0" w:rsidR="00602FBA" w:rsidRDefault="00602FBA" w:rsidP="001447CF">
      <w:pPr>
        <w:pStyle w:val="ListParagraph"/>
        <w:numPr>
          <w:ilvl w:val="0"/>
          <w:numId w:val="8"/>
        </w:numPr>
      </w:pPr>
      <w:r>
        <w:t xml:space="preserve">Employing and managing staff required to deliver the </w:t>
      </w:r>
      <w:r w:rsidR="00090524">
        <w:t xml:space="preserve">funded </w:t>
      </w:r>
      <w:r>
        <w:t>activities</w:t>
      </w:r>
      <w:r w:rsidR="00955E6B">
        <w:t xml:space="preserve"> / project</w:t>
      </w:r>
      <w:r>
        <w:t>.</w:t>
      </w:r>
    </w:p>
    <w:p w14:paraId="202E1566" w14:textId="239A8C0C" w:rsidR="003B5FFC" w:rsidRDefault="003B5FFC" w:rsidP="001447CF">
      <w:pPr>
        <w:pStyle w:val="ListParagraph"/>
        <w:numPr>
          <w:ilvl w:val="0"/>
          <w:numId w:val="8"/>
        </w:numPr>
      </w:pPr>
      <w:r>
        <w:t>Identifying, documenting and managing risks and putting in place appropriate mitigation strategies.</w:t>
      </w:r>
    </w:p>
    <w:p w14:paraId="7AFB6D5D" w14:textId="4F3B851B" w:rsidR="003B5FFC" w:rsidRDefault="003B5FFC" w:rsidP="001447CF">
      <w:pPr>
        <w:pStyle w:val="ListParagraph"/>
        <w:numPr>
          <w:ilvl w:val="0"/>
          <w:numId w:val="8"/>
        </w:numPr>
      </w:pPr>
      <w:r>
        <w:t>Meeting milestones and other specified timeframes.</w:t>
      </w:r>
    </w:p>
    <w:p w14:paraId="26B379E5" w14:textId="23B23D13" w:rsidR="003B5FFC" w:rsidRDefault="003B5FFC" w:rsidP="001447CF">
      <w:pPr>
        <w:pStyle w:val="ListParagraph"/>
        <w:numPr>
          <w:ilvl w:val="0"/>
          <w:numId w:val="8"/>
        </w:numPr>
      </w:pPr>
      <w:r>
        <w:t xml:space="preserve">Participating in evaluation activities as </w:t>
      </w:r>
      <w:r w:rsidR="00F001F8">
        <w:t>required</w:t>
      </w:r>
      <w:r>
        <w:t>.</w:t>
      </w:r>
    </w:p>
    <w:p w14:paraId="61B4A2B1" w14:textId="2AE2731B" w:rsidR="009925AE" w:rsidRDefault="00F001F8" w:rsidP="001447CF">
      <w:pPr>
        <w:spacing w:before="120" w:after="120"/>
      </w:pPr>
      <w:r>
        <w:t xml:space="preserve">MAPAU will undertake an evaluation of all </w:t>
      </w:r>
      <w:r w:rsidR="00041232">
        <w:t xml:space="preserve">concluded </w:t>
      </w:r>
      <w:r>
        <w:t xml:space="preserve">funded initiatives to determine if the intended outcomes and objectives have been achieved. Findings provided by funding recipients in funding outcomes reports </w:t>
      </w:r>
      <w:r w:rsidR="008B6794">
        <w:t>may</w:t>
      </w:r>
      <w:r>
        <w:t xml:space="preserve"> be used to inform the evaluation. Funding recipients will also be expected to provide any additional information or clarification to assist </w:t>
      </w:r>
      <w:r w:rsidR="00B222BC">
        <w:t xml:space="preserve">with </w:t>
      </w:r>
      <w:r>
        <w:t xml:space="preserve">the evaluation </w:t>
      </w:r>
      <w:r w:rsidR="00B222BC">
        <w:t xml:space="preserve">process </w:t>
      </w:r>
      <w:r>
        <w:t>including ad hoc data requests.</w:t>
      </w:r>
      <w:r w:rsidR="008B6794">
        <w:t xml:space="preserve"> The final evaluation </w:t>
      </w:r>
      <w:r w:rsidR="008B6794">
        <w:t>report may be published and used to inform future funding priorities.</w:t>
      </w:r>
      <w:r>
        <w:br/>
      </w:r>
    </w:p>
    <w:p w14:paraId="4C669A11" w14:textId="77777777" w:rsidR="009925AE" w:rsidRDefault="009925AE">
      <w:r>
        <w:br w:type="page"/>
      </w:r>
    </w:p>
    <w:p w14:paraId="2C570E75" w14:textId="00E88292" w:rsidR="00F001F8" w:rsidRPr="00755A58" w:rsidRDefault="00F001F8" w:rsidP="00F001F8">
      <w:pPr>
        <w:pStyle w:val="Heading2"/>
        <w:rPr>
          <w:b/>
          <w:bCs/>
          <w:sz w:val="32"/>
          <w:szCs w:val="32"/>
        </w:rPr>
      </w:pPr>
      <w:bookmarkStart w:id="3" w:name="_Hlk130913729"/>
      <w:r>
        <w:rPr>
          <w:b/>
          <w:bCs/>
          <w:sz w:val="32"/>
          <w:szCs w:val="32"/>
        </w:rPr>
        <w:t>Conflicts of interest</w:t>
      </w:r>
      <w:r w:rsidR="00041232">
        <w:rPr>
          <w:b/>
          <w:bCs/>
          <w:sz w:val="32"/>
          <w:szCs w:val="32"/>
        </w:rPr>
        <w:t xml:space="preserve"> /</w:t>
      </w:r>
      <w:r w:rsidR="00F47A7F">
        <w:rPr>
          <w:b/>
          <w:bCs/>
          <w:sz w:val="32"/>
          <w:szCs w:val="32"/>
        </w:rPr>
        <w:t xml:space="preserve"> </w:t>
      </w:r>
      <w:r w:rsidR="00041232">
        <w:rPr>
          <w:b/>
          <w:bCs/>
          <w:sz w:val="32"/>
          <w:szCs w:val="32"/>
        </w:rPr>
        <w:t>declarations of interest</w:t>
      </w:r>
    </w:p>
    <w:p w14:paraId="22D27AD1" w14:textId="5B39FAF3" w:rsidR="00F001F8" w:rsidRDefault="00207D37" w:rsidP="00207D37">
      <w:pPr>
        <w:spacing w:before="120" w:after="120"/>
        <w:rPr>
          <w:lang w:eastAsia="en-AU"/>
        </w:rPr>
      </w:pPr>
      <w:r>
        <w:rPr>
          <w:lang w:eastAsia="en-AU"/>
        </w:rPr>
        <w:t>A conflict of interest, or perceived conflict of interest, may arise if an applicant:</w:t>
      </w:r>
    </w:p>
    <w:p w14:paraId="5F639F47" w14:textId="6AFECF74" w:rsidR="00207D37" w:rsidRDefault="00207D37" w:rsidP="00207D37">
      <w:pPr>
        <w:pStyle w:val="ListParagraph"/>
        <w:numPr>
          <w:ilvl w:val="0"/>
          <w:numId w:val="33"/>
        </w:numPr>
        <w:rPr>
          <w:lang w:eastAsia="en-AU"/>
        </w:rPr>
      </w:pPr>
      <w:r>
        <w:rPr>
          <w:lang w:eastAsia="en-AU"/>
        </w:rPr>
        <w:t xml:space="preserve">Has a professional, commercial or personal relationship with a party who is able to influence the application assessment process, such as a Queensland Government officer or member of the </w:t>
      </w:r>
      <w:r w:rsidR="0032445F">
        <w:rPr>
          <w:lang w:eastAsia="en-AU"/>
        </w:rPr>
        <w:t>FAC</w:t>
      </w:r>
      <w:r>
        <w:rPr>
          <w:lang w:eastAsia="en-AU"/>
        </w:rPr>
        <w:t>.</w:t>
      </w:r>
    </w:p>
    <w:p w14:paraId="728F7585" w14:textId="536E1704" w:rsidR="00207D37" w:rsidRDefault="00207D37" w:rsidP="00207D37">
      <w:pPr>
        <w:pStyle w:val="ListParagraph"/>
        <w:numPr>
          <w:ilvl w:val="0"/>
          <w:numId w:val="33"/>
        </w:numPr>
        <w:rPr>
          <w:lang w:eastAsia="en-AU"/>
        </w:rPr>
      </w:pPr>
      <w:r>
        <w:rPr>
          <w:lang w:eastAsia="en-AU"/>
        </w:rPr>
        <w:t>Has a relationship with, or interest in, an organisation which is likely to interfere with or restrict the applicant from carrying out the proposed activities fairly and independently.</w:t>
      </w:r>
    </w:p>
    <w:p w14:paraId="4C6C0EE4" w14:textId="67E8F245" w:rsidR="00207D37" w:rsidRDefault="00207D37" w:rsidP="00207D37">
      <w:pPr>
        <w:pStyle w:val="ListParagraph"/>
        <w:numPr>
          <w:ilvl w:val="0"/>
          <w:numId w:val="33"/>
        </w:numPr>
        <w:rPr>
          <w:lang w:eastAsia="en-AU"/>
        </w:rPr>
      </w:pPr>
      <w:r>
        <w:rPr>
          <w:lang w:eastAsia="en-AU"/>
        </w:rPr>
        <w:t>Has a relationship with, or interest in, an organisation from which they will receive personal gain if the organisation received funding via this opportunity.</w:t>
      </w:r>
    </w:p>
    <w:p w14:paraId="767721AD" w14:textId="4A70F019" w:rsidR="00041232" w:rsidRDefault="00207D37" w:rsidP="00207D37">
      <w:pPr>
        <w:spacing w:before="120" w:after="120"/>
        <w:rPr>
          <w:lang w:eastAsia="en-AU"/>
        </w:rPr>
      </w:pPr>
      <w:r>
        <w:rPr>
          <w:lang w:eastAsia="en-AU"/>
        </w:rPr>
        <w:t xml:space="preserve">Applicants will be asked to declare any perceived or existing conflicts of interest as part of an application for funding, or </w:t>
      </w:r>
      <w:r w:rsidR="00BD08F0">
        <w:rPr>
          <w:lang w:eastAsia="en-AU"/>
        </w:rPr>
        <w:t xml:space="preserve">declare </w:t>
      </w:r>
      <w:r>
        <w:rPr>
          <w:lang w:eastAsia="en-AU"/>
        </w:rPr>
        <w:t>that to the best of their knowledge, there is no conflict of interest. If applicants later identify an actual, apparent, or perceived conflict of interest, they must inform MAPAU immediately</w:t>
      </w:r>
      <w:r w:rsidR="00BD08F0">
        <w:rPr>
          <w:lang w:eastAsia="en-AU"/>
        </w:rPr>
        <w:t xml:space="preserve"> in writing</w:t>
      </w:r>
      <w:r>
        <w:rPr>
          <w:lang w:eastAsia="en-AU"/>
        </w:rPr>
        <w:t xml:space="preserve">. </w:t>
      </w:r>
    </w:p>
    <w:p w14:paraId="69B7BF67" w14:textId="40CF3498" w:rsidR="003D15AC" w:rsidRDefault="003D15AC" w:rsidP="00207D37">
      <w:pPr>
        <w:spacing w:before="120" w:after="120"/>
        <w:rPr>
          <w:lang w:eastAsia="en-AU"/>
        </w:rPr>
      </w:pPr>
      <w:r>
        <w:rPr>
          <w:lang w:eastAsia="en-AU"/>
        </w:rPr>
        <w:t xml:space="preserve">The chair of the </w:t>
      </w:r>
      <w:r w:rsidR="00F47A7F">
        <w:rPr>
          <w:lang w:eastAsia="en-AU"/>
        </w:rPr>
        <w:t>FAC</w:t>
      </w:r>
      <w:r>
        <w:rPr>
          <w:lang w:eastAsia="en-AU"/>
        </w:rPr>
        <w:t xml:space="preserve"> is responsible for advising </w:t>
      </w:r>
      <w:r w:rsidR="00F47A7F">
        <w:rPr>
          <w:lang w:eastAsia="en-AU"/>
        </w:rPr>
        <w:t>the FAC of any conflicts or declarations of interest from applicants. The FAC will consider this information and make a determination as to the appropriateness of continuing to review the application. Further information may be requested by the FAC to assist in their deliberations.</w:t>
      </w:r>
    </w:p>
    <w:p w14:paraId="7FBE755F" w14:textId="50E24DCC" w:rsidR="00F001F8" w:rsidRPr="00755A58" w:rsidRDefault="00F001F8" w:rsidP="00F001F8">
      <w:pPr>
        <w:pStyle w:val="Heading2"/>
        <w:rPr>
          <w:b/>
          <w:bCs/>
          <w:sz w:val="32"/>
          <w:szCs w:val="32"/>
        </w:rPr>
      </w:pPr>
      <w:bookmarkStart w:id="4" w:name="_Hlk130913788"/>
      <w:bookmarkEnd w:id="3"/>
      <w:r>
        <w:rPr>
          <w:b/>
          <w:bCs/>
          <w:sz w:val="32"/>
          <w:szCs w:val="32"/>
        </w:rPr>
        <w:t>Privacy, confidentiality and protection of personal information</w:t>
      </w:r>
    </w:p>
    <w:p w14:paraId="48A9A85C" w14:textId="621A6FDA" w:rsidR="00F001F8" w:rsidRDefault="00207D37" w:rsidP="00052F85">
      <w:pPr>
        <w:spacing w:before="120" w:after="120"/>
        <w:rPr>
          <w:lang w:eastAsia="en-AU"/>
        </w:rPr>
      </w:pPr>
      <w:r>
        <w:rPr>
          <w:lang w:eastAsia="en-AU"/>
        </w:rPr>
        <w:t xml:space="preserve">Personal information collected by the Department of Health </w:t>
      </w:r>
      <w:r w:rsidR="00052F85">
        <w:rPr>
          <w:lang w:eastAsia="en-AU"/>
        </w:rPr>
        <w:t>will be</w:t>
      </w:r>
      <w:r>
        <w:rPr>
          <w:lang w:eastAsia="en-AU"/>
        </w:rPr>
        <w:t xml:space="preserve"> handled in accordance with the </w:t>
      </w:r>
      <w:r w:rsidRPr="00052F85">
        <w:rPr>
          <w:i/>
          <w:iCs/>
          <w:lang w:eastAsia="en-AU"/>
        </w:rPr>
        <w:t>Information Privacy Act 2009</w:t>
      </w:r>
      <w:r>
        <w:rPr>
          <w:lang w:eastAsia="en-AU"/>
        </w:rPr>
        <w:t xml:space="preserve"> (Qld).</w:t>
      </w:r>
    </w:p>
    <w:p w14:paraId="7CCD9D01" w14:textId="74CDE189" w:rsidR="00207D37" w:rsidRDefault="00207D37" w:rsidP="00052F85">
      <w:pPr>
        <w:spacing w:before="120" w:after="120"/>
        <w:rPr>
          <w:lang w:eastAsia="en-AU"/>
        </w:rPr>
      </w:pPr>
      <w:r>
        <w:rPr>
          <w:lang w:eastAsia="en-AU"/>
        </w:rPr>
        <w:t>As part of this funding opportunity</w:t>
      </w:r>
      <w:r w:rsidR="0086623B">
        <w:rPr>
          <w:lang w:eastAsia="en-AU"/>
        </w:rPr>
        <w:t xml:space="preserve"> application</w:t>
      </w:r>
      <w:r>
        <w:rPr>
          <w:lang w:eastAsia="en-AU"/>
        </w:rPr>
        <w:t xml:space="preserve"> process, the Department of Health </w:t>
      </w:r>
      <w:r w:rsidR="00052F85">
        <w:rPr>
          <w:lang w:eastAsia="en-AU"/>
        </w:rPr>
        <w:t xml:space="preserve">may </w:t>
      </w:r>
      <w:r w:rsidR="0086623B">
        <w:rPr>
          <w:lang w:eastAsia="en-AU"/>
        </w:rPr>
        <w:t>collect</w:t>
      </w:r>
      <w:r w:rsidR="00B222BC">
        <w:rPr>
          <w:lang w:eastAsia="en-AU"/>
        </w:rPr>
        <w:t xml:space="preserve"> </w:t>
      </w:r>
      <w:r w:rsidR="00052F85">
        <w:rPr>
          <w:lang w:eastAsia="en-AU"/>
        </w:rPr>
        <w:t xml:space="preserve">personal information (such as names, telephone numbers and email addresses), professional information (such as medical qualifications and employment details) and corporate financial information. </w:t>
      </w:r>
    </w:p>
    <w:p w14:paraId="1304B0ED" w14:textId="686D6D86" w:rsidR="00052F85" w:rsidRDefault="00052F85" w:rsidP="00052F85">
      <w:pPr>
        <w:spacing w:before="120" w:after="120"/>
        <w:rPr>
          <w:lang w:eastAsia="en-AU"/>
        </w:rPr>
      </w:pPr>
      <w:r>
        <w:rPr>
          <w:lang w:eastAsia="en-AU"/>
        </w:rPr>
        <w:t>All personal</w:t>
      </w:r>
      <w:r w:rsidR="00BD08F0">
        <w:rPr>
          <w:lang w:eastAsia="en-AU"/>
        </w:rPr>
        <w:t>, professional and corporate financial</w:t>
      </w:r>
      <w:r>
        <w:rPr>
          <w:lang w:eastAsia="en-AU"/>
        </w:rPr>
        <w:t xml:space="preserve"> information will be securely </w:t>
      </w:r>
      <w:r w:rsidR="0086623B">
        <w:rPr>
          <w:lang w:eastAsia="en-AU"/>
        </w:rPr>
        <w:t xml:space="preserve">stored </w:t>
      </w:r>
      <w:r>
        <w:rPr>
          <w:lang w:eastAsia="en-AU"/>
        </w:rPr>
        <w:t>and</w:t>
      </w:r>
      <w:r w:rsidR="00BD08F0">
        <w:rPr>
          <w:lang w:eastAsia="en-AU"/>
        </w:rPr>
        <w:t xml:space="preserve"> will</w:t>
      </w:r>
      <w:r>
        <w:rPr>
          <w:lang w:eastAsia="en-AU"/>
        </w:rPr>
        <w:t xml:space="preserve"> only </w:t>
      </w:r>
      <w:r w:rsidR="00BD08F0">
        <w:rPr>
          <w:lang w:eastAsia="en-AU"/>
        </w:rPr>
        <w:t xml:space="preserve">be </w:t>
      </w:r>
      <w:r>
        <w:rPr>
          <w:lang w:eastAsia="en-AU"/>
        </w:rPr>
        <w:t xml:space="preserve">accessible to </w:t>
      </w:r>
      <w:r w:rsidR="00BD08F0">
        <w:rPr>
          <w:lang w:eastAsia="en-AU"/>
        </w:rPr>
        <w:t xml:space="preserve">relevant employees of the </w:t>
      </w:r>
      <w:r>
        <w:rPr>
          <w:lang w:eastAsia="en-AU"/>
        </w:rPr>
        <w:t xml:space="preserve">Clinical Planning and Service Strategy Division as well as members of the </w:t>
      </w:r>
      <w:r w:rsidR="0032445F">
        <w:rPr>
          <w:lang w:eastAsia="en-AU"/>
        </w:rPr>
        <w:t>FAC</w:t>
      </w:r>
      <w:r w:rsidR="00BD08F0">
        <w:rPr>
          <w:lang w:eastAsia="en-AU"/>
        </w:rPr>
        <w:t>. This information will primarily be used</w:t>
      </w:r>
      <w:r>
        <w:rPr>
          <w:lang w:eastAsia="en-AU"/>
        </w:rPr>
        <w:t xml:space="preserve"> for the purpose of assessing eligibility and merit for funding under the MPWP4Q.</w:t>
      </w:r>
    </w:p>
    <w:p w14:paraId="449E87BF" w14:textId="1AC13458" w:rsidR="00052F85" w:rsidRDefault="00BD08F0" w:rsidP="00052F85">
      <w:pPr>
        <w:spacing w:before="120" w:after="120"/>
        <w:rPr>
          <w:lang w:eastAsia="en-AU"/>
        </w:rPr>
      </w:pPr>
      <w:r>
        <w:rPr>
          <w:lang w:eastAsia="en-AU"/>
        </w:rPr>
        <w:t>Information</w:t>
      </w:r>
      <w:r w:rsidR="00052F85">
        <w:rPr>
          <w:lang w:eastAsia="en-AU"/>
        </w:rPr>
        <w:t xml:space="preserve"> will not be disclosed to other third parties without consent.</w:t>
      </w:r>
    </w:p>
    <w:bookmarkEnd w:id="4"/>
    <w:p w14:paraId="159265C6" w14:textId="77777777" w:rsidR="00F001F8" w:rsidRDefault="00F001F8" w:rsidP="006D2BCA">
      <w:pPr>
        <w:pStyle w:val="Heading2"/>
        <w:rPr>
          <w:b/>
          <w:bCs/>
          <w:sz w:val="32"/>
          <w:szCs w:val="32"/>
        </w:rPr>
      </w:pPr>
    </w:p>
    <w:p w14:paraId="7E59E517" w14:textId="77777777" w:rsidR="00207D37" w:rsidRDefault="00207D37">
      <w:pPr>
        <w:rPr>
          <w:rFonts w:eastAsiaTheme="majorEastAsia" w:cstheme="majorBidi"/>
          <w:b/>
          <w:bCs/>
          <w:color w:val="0F5CA2" w:themeColor="accent1"/>
          <w:kern w:val="21"/>
          <w:sz w:val="32"/>
          <w:szCs w:val="32"/>
          <w:lang w:val="en-AU" w:eastAsia="en-AU"/>
          <w14:numSpacing w14:val="proportional"/>
        </w:rPr>
      </w:pPr>
      <w:r>
        <w:rPr>
          <w:b/>
          <w:bCs/>
          <w:sz w:val="32"/>
          <w:szCs w:val="32"/>
        </w:rPr>
        <w:br w:type="page"/>
      </w:r>
    </w:p>
    <w:p w14:paraId="36B9D199" w14:textId="7CB31C84" w:rsidR="0085442D" w:rsidRPr="00755A58" w:rsidRDefault="0085442D" w:rsidP="006D2BCA">
      <w:pPr>
        <w:pStyle w:val="Heading2"/>
        <w:rPr>
          <w:b/>
          <w:bCs/>
          <w:sz w:val="32"/>
          <w:szCs w:val="32"/>
        </w:rPr>
      </w:pPr>
      <w:r w:rsidRPr="00755A58">
        <w:rPr>
          <w:b/>
          <w:bCs/>
          <w:sz w:val="32"/>
          <w:szCs w:val="32"/>
        </w:rPr>
        <w:lastRenderedPageBreak/>
        <w:t>How to apply</w:t>
      </w:r>
    </w:p>
    <w:p w14:paraId="26110CE4" w14:textId="09C73254" w:rsidR="001447CF" w:rsidRDefault="001447CF" w:rsidP="001447CF">
      <w:pPr>
        <w:spacing w:before="120" w:after="120"/>
        <w:rPr>
          <w:lang w:eastAsia="en-AU"/>
        </w:rPr>
      </w:pPr>
      <w:bookmarkStart w:id="5" w:name="_Hlk130913931"/>
      <w:r>
        <w:rPr>
          <w:lang w:eastAsia="en-AU"/>
        </w:rPr>
        <w:t>Applications must be submitted on the</w:t>
      </w:r>
      <w:r w:rsidR="00701A77">
        <w:rPr>
          <w:lang w:eastAsia="en-AU"/>
        </w:rPr>
        <w:t xml:space="preserve"> </w:t>
      </w:r>
      <w:r w:rsidR="00F001F8">
        <w:rPr>
          <w:lang w:eastAsia="en-AU"/>
        </w:rPr>
        <w:t>prescribed</w:t>
      </w:r>
      <w:r>
        <w:rPr>
          <w:lang w:eastAsia="en-AU"/>
        </w:rPr>
        <w:t xml:space="preserve"> </w:t>
      </w:r>
      <w:r w:rsidR="00E21511" w:rsidRPr="00A63176">
        <w:rPr>
          <w:lang w:eastAsia="en-AU"/>
        </w:rPr>
        <w:t>a</w:t>
      </w:r>
      <w:r w:rsidRPr="00A63176">
        <w:rPr>
          <w:lang w:eastAsia="en-AU"/>
        </w:rPr>
        <w:t xml:space="preserve">pplication </w:t>
      </w:r>
      <w:r w:rsidR="00E21511" w:rsidRPr="00A63176">
        <w:rPr>
          <w:lang w:eastAsia="en-AU"/>
        </w:rPr>
        <w:t>f</w:t>
      </w:r>
      <w:r w:rsidRPr="00A63176">
        <w:rPr>
          <w:lang w:eastAsia="en-AU"/>
        </w:rPr>
        <w:t>orm</w:t>
      </w:r>
      <w:r>
        <w:rPr>
          <w:lang w:eastAsia="en-AU"/>
        </w:rPr>
        <w:t xml:space="preserve"> including the following </w:t>
      </w:r>
      <w:r w:rsidR="00DB7036">
        <w:rPr>
          <w:lang w:eastAsia="en-AU"/>
        </w:rPr>
        <w:t xml:space="preserve">completed </w:t>
      </w:r>
      <w:r w:rsidR="00693BE1">
        <w:rPr>
          <w:lang w:eastAsia="en-AU"/>
        </w:rPr>
        <w:t>templates</w:t>
      </w:r>
      <w:r>
        <w:rPr>
          <w:lang w:eastAsia="en-AU"/>
        </w:rPr>
        <w:t>:</w:t>
      </w:r>
    </w:p>
    <w:p w14:paraId="662103F5" w14:textId="32595661" w:rsidR="001447CF" w:rsidRPr="00904363" w:rsidRDefault="001447CF" w:rsidP="001447CF">
      <w:pPr>
        <w:pStyle w:val="ListParagraph"/>
        <w:numPr>
          <w:ilvl w:val="0"/>
          <w:numId w:val="8"/>
        </w:numPr>
      </w:pPr>
      <w:r w:rsidRPr="00904363">
        <w:t>Attachment 1</w:t>
      </w:r>
      <w:r w:rsidR="00693BE1">
        <w:t xml:space="preserve"> - </w:t>
      </w:r>
      <w:r w:rsidRPr="00904363">
        <w:t xml:space="preserve">Risk Management Plan </w:t>
      </w:r>
    </w:p>
    <w:p w14:paraId="1BA1B256" w14:textId="5361CBEB" w:rsidR="001447CF" w:rsidRPr="00904363" w:rsidRDefault="001447CF" w:rsidP="001447CF">
      <w:pPr>
        <w:pStyle w:val="ListParagraph"/>
        <w:numPr>
          <w:ilvl w:val="0"/>
          <w:numId w:val="8"/>
        </w:numPr>
      </w:pPr>
      <w:r w:rsidRPr="00904363">
        <w:t>Attachment 2</w:t>
      </w:r>
      <w:r w:rsidR="00693BE1">
        <w:t xml:space="preserve"> -</w:t>
      </w:r>
      <w:r w:rsidRPr="00904363">
        <w:t xml:space="preserve"> </w:t>
      </w:r>
      <w:r>
        <w:t xml:space="preserve">Budget Plan </w:t>
      </w:r>
    </w:p>
    <w:p w14:paraId="290968AF" w14:textId="5A60D4F8" w:rsidR="0085442D" w:rsidRPr="00990A29" w:rsidRDefault="0085442D" w:rsidP="001447CF">
      <w:pPr>
        <w:spacing w:before="120" w:after="120"/>
        <w:rPr>
          <w:lang w:eastAsia="en-AU"/>
        </w:rPr>
      </w:pPr>
      <w:r w:rsidRPr="00990A29">
        <w:rPr>
          <w:lang w:eastAsia="en-AU"/>
        </w:rPr>
        <w:t xml:space="preserve">Applicants are required to return </w:t>
      </w:r>
      <w:r w:rsidR="00F001F8" w:rsidRPr="00990A29">
        <w:rPr>
          <w:lang w:eastAsia="en-AU"/>
        </w:rPr>
        <w:t>their completed</w:t>
      </w:r>
      <w:r w:rsidRPr="00990A29">
        <w:rPr>
          <w:lang w:eastAsia="en-AU"/>
        </w:rPr>
        <w:t xml:space="preserve"> application form together with all </w:t>
      </w:r>
      <w:r w:rsidR="00093B66">
        <w:rPr>
          <w:lang w:eastAsia="en-AU"/>
        </w:rPr>
        <w:t>required</w:t>
      </w:r>
      <w:r w:rsidRPr="00990A29">
        <w:rPr>
          <w:lang w:eastAsia="en-AU"/>
        </w:rPr>
        <w:t xml:space="preserve"> attachments </w:t>
      </w:r>
      <w:r w:rsidR="00990A29" w:rsidRPr="00990A29">
        <w:rPr>
          <w:lang w:eastAsia="en-AU"/>
        </w:rPr>
        <w:t xml:space="preserve">via email to </w:t>
      </w:r>
      <w:hyperlink r:id="rId20" w:history="1">
        <w:r w:rsidR="00990A29" w:rsidRPr="00990A29">
          <w:rPr>
            <w:rStyle w:val="Hyperlink"/>
            <w:b/>
            <w:bCs/>
            <w:color w:val="3A3E3E" w:themeColor="background2" w:themeShade="40"/>
            <w:lang w:eastAsia="en-AU"/>
          </w:rPr>
          <w:t>MAPAU-MWP@health.qld.gov.au</w:t>
        </w:r>
      </w:hyperlink>
      <w:r w:rsidR="00990A29" w:rsidRPr="00990A29">
        <w:rPr>
          <w:lang w:eastAsia="en-AU"/>
        </w:rPr>
        <w:t xml:space="preserve"> </w:t>
      </w:r>
      <w:r w:rsidR="00F001F8" w:rsidRPr="00990A29">
        <w:rPr>
          <w:lang w:eastAsia="en-AU"/>
        </w:rPr>
        <w:t xml:space="preserve">by </w:t>
      </w:r>
      <w:r w:rsidR="00F001F8" w:rsidRPr="00990A29">
        <w:rPr>
          <w:b/>
          <w:bCs/>
          <w:lang w:eastAsia="en-AU"/>
        </w:rPr>
        <w:t xml:space="preserve">5.00 pm on </w:t>
      </w:r>
      <w:r w:rsidR="00990A29">
        <w:rPr>
          <w:b/>
          <w:bCs/>
          <w:lang w:eastAsia="en-AU"/>
        </w:rPr>
        <w:t xml:space="preserve">Monday </w:t>
      </w:r>
      <w:r w:rsidR="00A63176">
        <w:rPr>
          <w:b/>
          <w:bCs/>
          <w:lang w:eastAsia="en-AU"/>
        </w:rPr>
        <w:t>29</w:t>
      </w:r>
      <w:r w:rsidR="00F001F8" w:rsidRPr="00990A29">
        <w:rPr>
          <w:b/>
          <w:bCs/>
          <w:lang w:eastAsia="en-AU"/>
        </w:rPr>
        <w:t xml:space="preserve"> May 202</w:t>
      </w:r>
      <w:r w:rsidR="00990A29" w:rsidRPr="00990A29">
        <w:rPr>
          <w:b/>
          <w:bCs/>
          <w:lang w:eastAsia="en-AU"/>
        </w:rPr>
        <w:t>3</w:t>
      </w:r>
      <w:r w:rsidR="00990A29" w:rsidRPr="00990A29">
        <w:rPr>
          <w:lang w:eastAsia="en-AU"/>
        </w:rPr>
        <w:t>.</w:t>
      </w:r>
      <w:r w:rsidRPr="00990A29">
        <w:rPr>
          <w:lang w:eastAsia="en-AU"/>
        </w:rPr>
        <w:t xml:space="preserve"> </w:t>
      </w:r>
    </w:p>
    <w:p w14:paraId="6901D7E4" w14:textId="17AB4ADB" w:rsidR="0085442D" w:rsidRDefault="00F001F8" w:rsidP="001447CF">
      <w:pPr>
        <w:spacing w:before="120" w:after="120"/>
        <w:rPr>
          <w:u w:val="single"/>
          <w:lang w:eastAsia="en-AU"/>
        </w:rPr>
      </w:pPr>
      <w:r>
        <w:rPr>
          <w:lang w:eastAsia="en-AU"/>
        </w:rPr>
        <w:t>Late applications will not be accepted.</w:t>
      </w:r>
    </w:p>
    <w:bookmarkEnd w:id="5"/>
    <w:p w14:paraId="255DEBD1" w14:textId="43B008BB" w:rsidR="0085442D" w:rsidRPr="001447CF" w:rsidRDefault="0085442D" w:rsidP="001447CF">
      <w:pPr>
        <w:pStyle w:val="Heading2"/>
        <w:rPr>
          <w:b/>
          <w:bCs/>
          <w:i/>
          <w:iCs/>
          <w:color w:val="27AAE1" w:themeColor="accent3"/>
          <w:sz w:val="24"/>
          <w:szCs w:val="24"/>
        </w:rPr>
      </w:pPr>
      <w:r w:rsidRPr="001447CF">
        <w:rPr>
          <w:b/>
          <w:bCs/>
          <w:i/>
          <w:iCs/>
          <w:color w:val="27AAE1" w:themeColor="accent3"/>
          <w:sz w:val="24"/>
          <w:szCs w:val="24"/>
        </w:rPr>
        <w:t xml:space="preserve">Additional instructions </w:t>
      </w:r>
    </w:p>
    <w:p w14:paraId="406611DC" w14:textId="08A17247" w:rsidR="00693BE1" w:rsidRDefault="00F001F8" w:rsidP="00884152">
      <w:pPr>
        <w:pStyle w:val="ListParagraph"/>
        <w:numPr>
          <w:ilvl w:val="0"/>
          <w:numId w:val="16"/>
        </w:numPr>
        <w:tabs>
          <w:tab w:val="left" w:pos="2835"/>
        </w:tabs>
        <w:contextualSpacing w:val="0"/>
        <w:textboxTightWrap w:val="none"/>
        <w:rPr>
          <w:lang w:eastAsia="en-AU"/>
        </w:rPr>
      </w:pPr>
      <w:r>
        <w:rPr>
          <w:lang w:eastAsia="en-AU"/>
        </w:rPr>
        <w:t>Applications must be submitted as one PDF document.</w:t>
      </w:r>
    </w:p>
    <w:p w14:paraId="34A9B582" w14:textId="7178F233" w:rsidR="00884152" w:rsidRDefault="00884152" w:rsidP="00884152">
      <w:pPr>
        <w:pStyle w:val="ListParagraph"/>
        <w:numPr>
          <w:ilvl w:val="0"/>
          <w:numId w:val="16"/>
        </w:numPr>
        <w:tabs>
          <w:tab w:val="left" w:pos="2835"/>
        </w:tabs>
        <w:contextualSpacing w:val="0"/>
        <w:textboxTightWrap w:val="none"/>
        <w:rPr>
          <w:lang w:eastAsia="en-AU"/>
        </w:rPr>
      </w:pPr>
      <w:r>
        <w:rPr>
          <w:lang w:eastAsia="en-AU"/>
        </w:rPr>
        <w:t>Please only provide essential attachments in support of your application.</w:t>
      </w:r>
    </w:p>
    <w:p w14:paraId="1F2C8A9E" w14:textId="134F2BFB" w:rsidR="0085442D" w:rsidRDefault="0085442D" w:rsidP="001447CF">
      <w:pPr>
        <w:pStyle w:val="ListParagraph"/>
        <w:numPr>
          <w:ilvl w:val="0"/>
          <w:numId w:val="16"/>
        </w:numPr>
        <w:tabs>
          <w:tab w:val="left" w:pos="2835"/>
        </w:tabs>
        <w:contextualSpacing w:val="0"/>
        <w:textboxTightWrap w:val="none"/>
        <w:rPr>
          <w:lang w:eastAsia="en-AU"/>
        </w:rPr>
      </w:pPr>
      <w:r>
        <w:rPr>
          <w:lang w:eastAsia="en-AU"/>
        </w:rPr>
        <w:t xml:space="preserve">The amount of detail and supporting evidence provided should be relative to the size, complexity and funding amount requested. </w:t>
      </w:r>
    </w:p>
    <w:p w14:paraId="0ACE9323" w14:textId="1F720A0F" w:rsidR="0085442D" w:rsidRDefault="0085442D" w:rsidP="001447CF">
      <w:pPr>
        <w:pStyle w:val="ListParagraph"/>
        <w:numPr>
          <w:ilvl w:val="0"/>
          <w:numId w:val="16"/>
        </w:numPr>
        <w:tabs>
          <w:tab w:val="left" w:pos="2835"/>
        </w:tabs>
        <w:contextualSpacing w:val="0"/>
        <w:textboxTightWrap w:val="none"/>
        <w:rPr>
          <w:lang w:eastAsia="en-AU"/>
        </w:rPr>
      </w:pPr>
      <w:r w:rsidRPr="00DF1397">
        <w:rPr>
          <w:lang w:eastAsia="en-AU"/>
        </w:rPr>
        <w:t>The declaration included in the application form must be signed by a person authorised to act on behalf of the applicant</w:t>
      </w:r>
      <w:r w:rsidR="00701A77">
        <w:rPr>
          <w:lang w:eastAsia="en-AU"/>
        </w:rPr>
        <w:t xml:space="preserve"> (e.g. for applications submitted by HHSs, the </w:t>
      </w:r>
      <w:r w:rsidR="00F001F8">
        <w:rPr>
          <w:lang w:eastAsia="en-AU"/>
        </w:rPr>
        <w:t xml:space="preserve">declaration must be signed by the </w:t>
      </w:r>
      <w:r w:rsidR="00701A77">
        <w:rPr>
          <w:lang w:eastAsia="en-AU"/>
        </w:rPr>
        <w:t>Chief Executive)</w:t>
      </w:r>
      <w:r w:rsidRPr="00DF1397">
        <w:rPr>
          <w:lang w:eastAsia="en-AU"/>
        </w:rPr>
        <w:t>. In the event of a consortium, only the lead organisation is required to sign the declaration.</w:t>
      </w:r>
    </w:p>
    <w:p w14:paraId="31EF60FC" w14:textId="7AECC75A" w:rsidR="0085442D" w:rsidRDefault="0085442D" w:rsidP="001447CF">
      <w:pPr>
        <w:pStyle w:val="ListParagraph"/>
        <w:numPr>
          <w:ilvl w:val="0"/>
          <w:numId w:val="16"/>
        </w:numPr>
        <w:tabs>
          <w:tab w:val="left" w:pos="2835"/>
        </w:tabs>
        <w:contextualSpacing w:val="0"/>
        <w:textboxTightWrap w:val="none"/>
        <w:rPr>
          <w:lang w:eastAsia="en-AU"/>
        </w:rPr>
      </w:pPr>
      <w:r w:rsidRPr="002461DF">
        <w:rPr>
          <w:lang w:eastAsia="en-AU"/>
        </w:rPr>
        <w:t xml:space="preserve">Applicants </w:t>
      </w:r>
      <w:r>
        <w:rPr>
          <w:lang w:eastAsia="en-AU"/>
        </w:rPr>
        <w:t>must ensure their</w:t>
      </w:r>
      <w:r w:rsidRPr="002461DF">
        <w:rPr>
          <w:lang w:eastAsia="en-AU"/>
        </w:rPr>
        <w:t xml:space="preserve"> application </w:t>
      </w:r>
      <w:r>
        <w:rPr>
          <w:lang w:eastAsia="en-AU"/>
        </w:rPr>
        <w:t>is</w:t>
      </w:r>
      <w:r w:rsidRPr="002461DF">
        <w:rPr>
          <w:lang w:eastAsia="en-AU"/>
        </w:rPr>
        <w:t xml:space="preserve"> complete and accurate when submitted. Applicants should contact MAPAU immediately if they discover an error</w:t>
      </w:r>
      <w:r w:rsidR="00702891">
        <w:rPr>
          <w:lang w:eastAsia="en-AU"/>
        </w:rPr>
        <w:t xml:space="preserve"> or omission</w:t>
      </w:r>
      <w:r w:rsidRPr="002461DF">
        <w:rPr>
          <w:lang w:eastAsia="en-AU"/>
        </w:rPr>
        <w:t xml:space="preserve"> in </w:t>
      </w:r>
      <w:r w:rsidR="00F001F8">
        <w:rPr>
          <w:lang w:eastAsia="en-AU"/>
        </w:rPr>
        <w:t>their</w:t>
      </w:r>
      <w:r w:rsidRPr="002461DF">
        <w:rPr>
          <w:lang w:eastAsia="en-AU"/>
        </w:rPr>
        <w:t xml:space="preserve"> application after submission. </w:t>
      </w:r>
    </w:p>
    <w:p w14:paraId="68536DBE" w14:textId="08D23BE5" w:rsidR="00A40890" w:rsidRDefault="0085442D" w:rsidP="001447CF">
      <w:pPr>
        <w:pStyle w:val="ListParagraph"/>
        <w:numPr>
          <w:ilvl w:val="0"/>
          <w:numId w:val="16"/>
        </w:numPr>
        <w:tabs>
          <w:tab w:val="left" w:pos="2835"/>
        </w:tabs>
        <w:contextualSpacing w:val="0"/>
        <w:textboxTightWrap w:val="none"/>
        <w:rPr>
          <w:lang w:eastAsia="en-AU"/>
        </w:rPr>
      </w:pPr>
      <w:r w:rsidRPr="002461DF">
        <w:rPr>
          <w:lang w:eastAsia="en-AU"/>
        </w:rPr>
        <w:t>MAPAU at its discretion may request clarification or additional information that does not alter the substance of an application in response to an omission or error of form</w:t>
      </w:r>
      <w:r w:rsidR="00F001F8">
        <w:rPr>
          <w:lang w:eastAsia="en-AU"/>
        </w:rPr>
        <w:t>.</w:t>
      </w:r>
    </w:p>
    <w:p w14:paraId="325F11C0" w14:textId="0E4A019D" w:rsidR="00E92DE3" w:rsidRPr="00990A29" w:rsidRDefault="00693BE1" w:rsidP="00E92DE3">
      <w:pPr>
        <w:pStyle w:val="BodyText"/>
        <w:rPr>
          <w:lang w:eastAsia="en-AU"/>
        </w:rPr>
      </w:pPr>
      <w:r w:rsidRPr="00990A29">
        <w:rPr>
          <w:lang w:eastAsia="en-AU"/>
        </w:rPr>
        <w:t xml:space="preserve">For further information, please contact MAPAU via email to </w:t>
      </w:r>
      <w:hyperlink r:id="rId21" w:history="1">
        <w:r w:rsidRPr="00990A29">
          <w:rPr>
            <w:rStyle w:val="Hyperlink"/>
            <w:color w:val="3A3E3E" w:themeColor="background2" w:themeShade="40"/>
            <w:lang w:eastAsia="en-AU"/>
          </w:rPr>
          <w:t>MAPAU-MWP@health.qld.gov.au</w:t>
        </w:r>
      </w:hyperlink>
      <w:r w:rsidRPr="00990A29">
        <w:rPr>
          <w:lang w:eastAsia="en-AU"/>
        </w:rPr>
        <w:t>.</w:t>
      </w:r>
    </w:p>
    <w:p w14:paraId="361CB88C" w14:textId="06E093D3" w:rsidR="00E92DE3" w:rsidRDefault="00E92DE3" w:rsidP="00E92DE3">
      <w:pPr>
        <w:pStyle w:val="BodyText"/>
        <w:rPr>
          <w:lang w:eastAsia="en-AU"/>
        </w:rPr>
      </w:pPr>
    </w:p>
    <w:p w14:paraId="58FA455E" w14:textId="77777777" w:rsidR="00E92DE3" w:rsidRDefault="00E92DE3" w:rsidP="00E92DE3">
      <w:pPr>
        <w:pStyle w:val="BodyText"/>
        <w:rPr>
          <w:lang w:eastAsia="en-AU"/>
        </w:rPr>
        <w:sectPr w:rsidR="00E92DE3" w:rsidSect="009827A3">
          <w:headerReference w:type="default" r:id="rId22"/>
          <w:footerReference w:type="default" r:id="rId23"/>
          <w:footerReference w:type="first" r:id="rId24"/>
          <w:type w:val="continuous"/>
          <w:pgSz w:w="11906" w:h="16838" w:code="9"/>
          <w:pgMar w:top="1531" w:right="1531" w:bottom="1531" w:left="1531" w:header="709" w:footer="709" w:gutter="0"/>
          <w:cols w:space="708"/>
          <w:docGrid w:linePitch="360"/>
        </w:sectPr>
      </w:pPr>
    </w:p>
    <w:p w14:paraId="0CEAE0F3" w14:textId="7A9CFC7C" w:rsidR="00726DA6" w:rsidRPr="00726DA6" w:rsidRDefault="00726DA6" w:rsidP="00726DA6">
      <w:pPr>
        <w:pStyle w:val="Heading2"/>
        <w:rPr>
          <w:b/>
          <w:bCs/>
          <w:szCs w:val="40"/>
        </w:rPr>
      </w:pPr>
      <w:r w:rsidRPr="00470E4F">
        <w:rPr>
          <w:b/>
          <w:bCs/>
          <w:szCs w:val="40"/>
        </w:rPr>
        <w:lastRenderedPageBreak/>
        <w:t xml:space="preserve">Appendix </w:t>
      </w:r>
      <w:r w:rsidR="00E71BCA">
        <w:rPr>
          <w:b/>
          <w:bCs/>
          <w:szCs w:val="40"/>
        </w:rPr>
        <w:t>1</w:t>
      </w:r>
      <w:r w:rsidRPr="00470E4F">
        <w:rPr>
          <w:b/>
          <w:bCs/>
          <w:szCs w:val="40"/>
        </w:rPr>
        <w:t xml:space="preserve"> – </w:t>
      </w:r>
      <w:r w:rsidR="00DB430E">
        <w:rPr>
          <w:b/>
          <w:bCs/>
          <w:szCs w:val="40"/>
        </w:rPr>
        <w:t>Key initiatives and achievements under previous phases of the MPWP4Q</w:t>
      </w:r>
    </w:p>
    <w:p w14:paraId="31DB16BE" w14:textId="3BEB82AE" w:rsidR="00726DA6" w:rsidRDefault="00726DA6" w:rsidP="00726DA6">
      <w:pPr>
        <w:spacing w:before="120" w:after="120"/>
      </w:pPr>
      <w:r>
        <w:t>The following table provides a snapshot of key initiatives successfully implemented over the first five years of the MPWP4Q, together with a summary of significant achievements.</w:t>
      </w:r>
    </w:p>
    <w:tbl>
      <w:tblPr>
        <w:tblStyle w:val="GridTable5Dark-Accent1"/>
        <w:tblW w:w="0" w:type="auto"/>
        <w:tblLook w:val="04A0" w:firstRow="1" w:lastRow="0" w:firstColumn="1" w:lastColumn="0" w:noHBand="0" w:noVBand="1"/>
      </w:tblPr>
      <w:tblGrid>
        <w:gridCol w:w="4422"/>
        <w:gridCol w:w="4422"/>
      </w:tblGrid>
      <w:tr w:rsidR="00726DA6" w14:paraId="7A790D06" w14:textId="77777777" w:rsidTr="00C521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22" w:type="dxa"/>
            <w:hideMark/>
          </w:tcPr>
          <w:p w14:paraId="3D044626" w14:textId="77777777" w:rsidR="00726DA6" w:rsidRPr="006D7274" w:rsidRDefault="00726DA6" w:rsidP="00C52117">
            <w:pPr>
              <w:spacing w:after="60"/>
              <w:rPr>
                <w:rFonts w:ascii="Fira Sans" w:hAnsi="Fira Sans"/>
                <w:b/>
                <w:bCs w:val="0"/>
                <w:sz w:val="20"/>
                <w:szCs w:val="20"/>
              </w:rPr>
            </w:pPr>
            <w:r w:rsidRPr="006D7274">
              <w:rPr>
                <w:rFonts w:ascii="Fira Sans" w:hAnsi="Fira Sans"/>
                <w:b/>
                <w:bCs w:val="0"/>
                <w:sz w:val="20"/>
                <w:szCs w:val="20"/>
              </w:rPr>
              <w:t>Strategic priorities</w:t>
            </w:r>
          </w:p>
        </w:tc>
        <w:tc>
          <w:tcPr>
            <w:tcW w:w="4422" w:type="dxa"/>
            <w:hideMark/>
          </w:tcPr>
          <w:p w14:paraId="6803F273" w14:textId="77777777" w:rsidR="00726DA6" w:rsidRPr="006D7274" w:rsidRDefault="00726DA6" w:rsidP="00C52117">
            <w:pPr>
              <w:spacing w:after="60"/>
              <w:cnfStyle w:val="100000000000" w:firstRow="1" w:lastRow="0" w:firstColumn="0" w:lastColumn="0" w:oddVBand="0" w:evenVBand="0" w:oddHBand="0" w:evenHBand="0" w:firstRowFirstColumn="0" w:firstRowLastColumn="0" w:lastRowFirstColumn="0" w:lastRowLastColumn="0"/>
              <w:rPr>
                <w:rFonts w:ascii="Fira Sans" w:hAnsi="Fira Sans"/>
                <w:b/>
                <w:bCs w:val="0"/>
                <w:sz w:val="20"/>
                <w:szCs w:val="20"/>
              </w:rPr>
            </w:pPr>
            <w:r w:rsidRPr="006D7274">
              <w:rPr>
                <w:rFonts w:ascii="Fira Sans" w:hAnsi="Fira Sans"/>
                <w:b/>
                <w:bCs w:val="0"/>
                <w:sz w:val="20"/>
                <w:szCs w:val="20"/>
              </w:rPr>
              <w:t>Key achievements</w:t>
            </w:r>
          </w:p>
        </w:tc>
      </w:tr>
      <w:tr w:rsidR="00726DA6" w14:paraId="71678D43" w14:textId="77777777" w:rsidTr="00C52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2" w:type="dxa"/>
            <w:vAlign w:val="top"/>
          </w:tcPr>
          <w:p w14:paraId="10F5AAED" w14:textId="77777777" w:rsidR="00726DA6" w:rsidRPr="009B7586" w:rsidRDefault="00726DA6" w:rsidP="00C52117">
            <w:pPr>
              <w:pStyle w:val="BodyText"/>
              <w:spacing w:line="276" w:lineRule="auto"/>
              <w:rPr>
                <w:b/>
                <w:bCs w:val="0"/>
                <w:sz w:val="20"/>
                <w:szCs w:val="20"/>
              </w:rPr>
            </w:pPr>
            <w:r w:rsidRPr="009B7586">
              <w:rPr>
                <w:b/>
                <w:bCs w:val="0"/>
                <w:sz w:val="20"/>
                <w:szCs w:val="20"/>
              </w:rPr>
              <w:t>Emergent priority areas</w:t>
            </w:r>
          </w:p>
          <w:p w14:paraId="3BAAF06F" w14:textId="3F0F565C" w:rsidR="00726DA6" w:rsidRPr="009B7586" w:rsidRDefault="00726DA6" w:rsidP="00C52117">
            <w:pPr>
              <w:pStyle w:val="BodyText"/>
              <w:spacing w:line="276" w:lineRule="auto"/>
              <w:rPr>
                <w:i/>
                <w:iCs/>
                <w:sz w:val="20"/>
                <w:szCs w:val="20"/>
              </w:rPr>
            </w:pPr>
            <w:r w:rsidRPr="009B7586">
              <w:rPr>
                <w:i/>
                <w:iCs/>
                <w:sz w:val="20"/>
                <w:szCs w:val="20"/>
              </w:rPr>
              <w:t>Investing in and supporting specialist workforces that are currently in</w:t>
            </w:r>
            <w:r w:rsidR="003D15AC">
              <w:rPr>
                <w:i/>
                <w:iCs/>
                <w:sz w:val="20"/>
                <w:szCs w:val="20"/>
              </w:rPr>
              <w:t>,</w:t>
            </w:r>
            <w:r w:rsidRPr="009B7586">
              <w:rPr>
                <w:i/>
                <w:iCs/>
                <w:sz w:val="20"/>
                <w:szCs w:val="20"/>
              </w:rPr>
              <w:t xml:space="preserve"> or at risk</w:t>
            </w:r>
            <w:r w:rsidR="003D15AC">
              <w:rPr>
                <w:i/>
                <w:iCs/>
                <w:sz w:val="20"/>
                <w:szCs w:val="20"/>
              </w:rPr>
              <w:t>,</w:t>
            </w:r>
            <w:r w:rsidRPr="009B7586">
              <w:rPr>
                <w:i/>
                <w:iCs/>
                <w:sz w:val="20"/>
                <w:szCs w:val="20"/>
              </w:rPr>
              <w:t xml:space="preserve"> of shortage.</w:t>
            </w:r>
          </w:p>
        </w:tc>
        <w:tc>
          <w:tcPr>
            <w:tcW w:w="4422" w:type="dxa"/>
            <w:tcBorders>
              <w:top w:val="single" w:sz="4" w:space="0" w:color="FFFFFF" w:themeColor="background1"/>
              <w:left w:val="single" w:sz="4" w:space="0" w:color="FFFFFF" w:themeColor="background1"/>
              <w:bottom w:val="single" w:sz="4" w:space="0" w:color="FFFFFF" w:themeColor="background1"/>
              <w:right w:val="nil"/>
            </w:tcBorders>
            <w:vAlign w:val="top"/>
            <w:hideMark/>
          </w:tcPr>
          <w:p w14:paraId="27D69DDB" w14:textId="77777777" w:rsidR="00726DA6" w:rsidRPr="009B7586" w:rsidRDefault="00726DA6" w:rsidP="00C52117">
            <w:pPr>
              <w:pStyle w:val="BodyText"/>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B7586">
              <w:rPr>
                <w:sz w:val="20"/>
                <w:szCs w:val="20"/>
              </w:rPr>
              <w:t>Building the sustained capacity for training and practice in several identified specialties including:</w:t>
            </w:r>
          </w:p>
          <w:p w14:paraId="6F7291A1" w14:textId="77777777" w:rsidR="00726DA6" w:rsidRPr="009B7586" w:rsidRDefault="00726DA6" w:rsidP="00C52117">
            <w:pPr>
              <w:pStyle w:val="ListBullet"/>
              <w:numPr>
                <w:ilvl w:val="0"/>
                <w:numId w:val="34"/>
              </w:numPr>
              <w:spacing w:before="120" w:after="120" w:line="276" w:lineRule="auto"/>
              <w:cnfStyle w:val="000000100000" w:firstRow="0" w:lastRow="0" w:firstColumn="0" w:lastColumn="0" w:oddVBand="0" w:evenVBand="0" w:oddHBand="1" w:evenHBand="0" w:firstRowFirstColumn="0" w:firstRowLastColumn="0" w:lastRowFirstColumn="0" w:lastRowLastColumn="0"/>
              <w:rPr>
                <w:sz w:val="20"/>
                <w:szCs w:val="20"/>
                <w:lang w:eastAsia="en-US"/>
              </w:rPr>
            </w:pPr>
            <w:r w:rsidRPr="009B7586">
              <w:rPr>
                <w:sz w:val="20"/>
                <w:szCs w:val="20"/>
                <w:lang w:eastAsia="en-US"/>
              </w:rPr>
              <w:t>Addiction medicine</w:t>
            </w:r>
          </w:p>
          <w:p w14:paraId="1949BABD" w14:textId="77777777" w:rsidR="00726DA6" w:rsidRPr="009B7586" w:rsidRDefault="00726DA6" w:rsidP="00C52117">
            <w:pPr>
              <w:pStyle w:val="ListBullet"/>
              <w:numPr>
                <w:ilvl w:val="0"/>
                <w:numId w:val="34"/>
              </w:numPr>
              <w:spacing w:before="120" w:after="120" w:line="276" w:lineRule="auto"/>
              <w:cnfStyle w:val="000000100000" w:firstRow="0" w:lastRow="0" w:firstColumn="0" w:lastColumn="0" w:oddVBand="0" w:evenVBand="0" w:oddHBand="1" w:evenHBand="0" w:firstRowFirstColumn="0" w:firstRowLastColumn="0" w:lastRowFirstColumn="0" w:lastRowLastColumn="0"/>
              <w:rPr>
                <w:sz w:val="20"/>
                <w:szCs w:val="20"/>
                <w:lang w:eastAsia="en-US"/>
              </w:rPr>
            </w:pPr>
            <w:r w:rsidRPr="009B7586">
              <w:rPr>
                <w:sz w:val="20"/>
                <w:szCs w:val="20"/>
                <w:lang w:eastAsia="en-US"/>
              </w:rPr>
              <w:t>Anatomical pathology</w:t>
            </w:r>
          </w:p>
          <w:p w14:paraId="3C8D91D8" w14:textId="77777777" w:rsidR="00726DA6" w:rsidRPr="009B7586" w:rsidRDefault="00726DA6" w:rsidP="00C52117">
            <w:pPr>
              <w:pStyle w:val="ListBullet"/>
              <w:numPr>
                <w:ilvl w:val="0"/>
                <w:numId w:val="34"/>
              </w:numPr>
              <w:spacing w:before="120" w:after="120" w:line="276" w:lineRule="auto"/>
              <w:cnfStyle w:val="000000100000" w:firstRow="0" w:lastRow="0" w:firstColumn="0" w:lastColumn="0" w:oddVBand="0" w:evenVBand="0" w:oddHBand="1" w:evenHBand="0" w:firstRowFirstColumn="0" w:firstRowLastColumn="0" w:lastRowFirstColumn="0" w:lastRowLastColumn="0"/>
              <w:rPr>
                <w:sz w:val="20"/>
                <w:szCs w:val="20"/>
                <w:lang w:eastAsia="en-US"/>
              </w:rPr>
            </w:pPr>
            <w:r w:rsidRPr="009B7586">
              <w:rPr>
                <w:sz w:val="20"/>
                <w:szCs w:val="20"/>
                <w:lang w:eastAsia="en-US"/>
              </w:rPr>
              <w:t>Public health medicine</w:t>
            </w:r>
          </w:p>
          <w:p w14:paraId="1E20D341" w14:textId="77777777" w:rsidR="00726DA6" w:rsidRPr="009B7586" w:rsidRDefault="00726DA6" w:rsidP="00C52117">
            <w:pPr>
              <w:pStyle w:val="ListBullet"/>
              <w:numPr>
                <w:ilvl w:val="0"/>
                <w:numId w:val="34"/>
              </w:numPr>
              <w:spacing w:before="120" w:after="120" w:line="276" w:lineRule="auto"/>
              <w:cnfStyle w:val="000000100000" w:firstRow="0" w:lastRow="0" w:firstColumn="0" w:lastColumn="0" w:oddVBand="0" w:evenVBand="0" w:oddHBand="1" w:evenHBand="0" w:firstRowFirstColumn="0" w:firstRowLastColumn="0" w:lastRowFirstColumn="0" w:lastRowLastColumn="0"/>
              <w:rPr>
                <w:sz w:val="20"/>
                <w:szCs w:val="20"/>
                <w:lang w:eastAsia="en-US"/>
              </w:rPr>
            </w:pPr>
            <w:r w:rsidRPr="009B7586">
              <w:rPr>
                <w:sz w:val="20"/>
                <w:szCs w:val="20"/>
                <w:lang w:eastAsia="en-US"/>
              </w:rPr>
              <w:t>Psychiatry</w:t>
            </w:r>
          </w:p>
          <w:p w14:paraId="6C551889" w14:textId="77777777" w:rsidR="00726DA6" w:rsidRPr="009B7586" w:rsidRDefault="00726DA6" w:rsidP="00C52117">
            <w:pPr>
              <w:pStyle w:val="BodyText"/>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B7586">
              <w:rPr>
                <w:sz w:val="20"/>
                <w:szCs w:val="20"/>
              </w:rPr>
              <w:t>Facilitate enrolment through specialty core requirements by expanding capacity in the following rotations:</w:t>
            </w:r>
          </w:p>
          <w:p w14:paraId="179B3B41" w14:textId="77777777" w:rsidR="00726DA6" w:rsidRPr="009B7586" w:rsidRDefault="00726DA6" w:rsidP="00C52117">
            <w:pPr>
              <w:pStyle w:val="ListBullet"/>
              <w:numPr>
                <w:ilvl w:val="0"/>
                <w:numId w:val="34"/>
              </w:numPr>
              <w:spacing w:before="120" w:after="120" w:line="276" w:lineRule="auto"/>
              <w:cnfStyle w:val="000000100000" w:firstRow="0" w:lastRow="0" w:firstColumn="0" w:lastColumn="0" w:oddVBand="0" w:evenVBand="0" w:oddHBand="1" w:evenHBand="0" w:firstRowFirstColumn="0" w:firstRowLastColumn="0" w:lastRowFirstColumn="0" w:lastRowLastColumn="0"/>
              <w:rPr>
                <w:sz w:val="20"/>
                <w:szCs w:val="20"/>
                <w:lang w:eastAsia="en-US"/>
              </w:rPr>
            </w:pPr>
            <w:r w:rsidRPr="009B7586">
              <w:rPr>
                <w:sz w:val="20"/>
                <w:szCs w:val="20"/>
                <w:lang w:eastAsia="en-US"/>
              </w:rPr>
              <w:t>Paediatric anaesthesia</w:t>
            </w:r>
          </w:p>
          <w:p w14:paraId="393CED47" w14:textId="77777777" w:rsidR="00726DA6" w:rsidRPr="009B7586" w:rsidRDefault="00726DA6" w:rsidP="00C52117">
            <w:pPr>
              <w:pStyle w:val="ListBullet"/>
              <w:numPr>
                <w:ilvl w:val="0"/>
                <w:numId w:val="34"/>
              </w:numPr>
              <w:spacing w:before="120" w:after="120" w:line="276" w:lineRule="auto"/>
              <w:cnfStyle w:val="000000100000" w:firstRow="0" w:lastRow="0" w:firstColumn="0" w:lastColumn="0" w:oddVBand="0" w:evenVBand="0" w:oddHBand="1" w:evenHBand="0" w:firstRowFirstColumn="0" w:firstRowLastColumn="0" w:lastRowFirstColumn="0" w:lastRowLastColumn="0"/>
              <w:rPr>
                <w:sz w:val="20"/>
                <w:szCs w:val="20"/>
                <w:lang w:eastAsia="en-US"/>
              </w:rPr>
            </w:pPr>
            <w:r w:rsidRPr="009B7586">
              <w:rPr>
                <w:sz w:val="20"/>
                <w:szCs w:val="20"/>
                <w:lang w:eastAsia="en-US"/>
              </w:rPr>
              <w:t>Paediatric radiology</w:t>
            </w:r>
          </w:p>
        </w:tc>
      </w:tr>
      <w:tr w:rsidR="00726DA6" w14:paraId="30FD6221" w14:textId="77777777" w:rsidTr="00C521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2" w:type="dxa"/>
            <w:vAlign w:val="top"/>
          </w:tcPr>
          <w:p w14:paraId="2CA346B1" w14:textId="77777777" w:rsidR="00726DA6" w:rsidRPr="009B7586" w:rsidRDefault="00726DA6" w:rsidP="00C52117">
            <w:pPr>
              <w:pStyle w:val="BodyText"/>
              <w:spacing w:line="276" w:lineRule="auto"/>
              <w:rPr>
                <w:b/>
                <w:bCs w:val="0"/>
                <w:sz w:val="20"/>
                <w:szCs w:val="20"/>
              </w:rPr>
            </w:pPr>
            <w:r w:rsidRPr="009B7586">
              <w:rPr>
                <w:b/>
                <w:bCs w:val="0"/>
                <w:sz w:val="20"/>
                <w:szCs w:val="20"/>
              </w:rPr>
              <w:t>Shared data collection and analysis</w:t>
            </w:r>
          </w:p>
          <w:p w14:paraId="0EDBB7D1" w14:textId="77777777" w:rsidR="00726DA6" w:rsidRPr="009B7586" w:rsidRDefault="00726DA6" w:rsidP="00C52117">
            <w:pPr>
              <w:pStyle w:val="BodyText"/>
              <w:spacing w:line="276" w:lineRule="auto"/>
              <w:rPr>
                <w:bCs w:val="0"/>
                <w:i/>
                <w:iCs/>
                <w:sz w:val="20"/>
                <w:szCs w:val="20"/>
              </w:rPr>
            </w:pPr>
            <w:r w:rsidRPr="009B7586">
              <w:rPr>
                <w:i/>
                <w:iCs/>
                <w:sz w:val="20"/>
                <w:szCs w:val="20"/>
              </w:rPr>
              <w:t>Enhanced collaboration to enable shared identification and understanding of challenges that will need to be addressed by multi-faceted solutions.</w:t>
            </w:r>
          </w:p>
          <w:p w14:paraId="1E27734B" w14:textId="77777777" w:rsidR="00726DA6" w:rsidRPr="009B7586" w:rsidRDefault="00726DA6" w:rsidP="00C52117">
            <w:pPr>
              <w:pStyle w:val="BodyText"/>
              <w:spacing w:line="276" w:lineRule="auto"/>
              <w:rPr>
                <w:i/>
                <w:iCs/>
                <w:sz w:val="20"/>
                <w:szCs w:val="20"/>
              </w:rPr>
            </w:pPr>
          </w:p>
        </w:tc>
        <w:tc>
          <w:tcPr>
            <w:tcW w:w="4422" w:type="dxa"/>
            <w:tcBorders>
              <w:top w:val="single" w:sz="4" w:space="0" w:color="FFFFFF" w:themeColor="background1"/>
              <w:left w:val="single" w:sz="4" w:space="0" w:color="FFFFFF" w:themeColor="background1"/>
              <w:bottom w:val="single" w:sz="4" w:space="0" w:color="FFFFFF" w:themeColor="background1"/>
              <w:right w:val="nil"/>
            </w:tcBorders>
            <w:vAlign w:val="top"/>
            <w:hideMark/>
          </w:tcPr>
          <w:p w14:paraId="6A7EB7B8" w14:textId="77777777" w:rsidR="00726DA6" w:rsidRPr="009B7586" w:rsidRDefault="00726DA6" w:rsidP="00C52117">
            <w:pPr>
              <w:pStyle w:val="BodyText"/>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B7586">
              <w:rPr>
                <w:sz w:val="20"/>
                <w:szCs w:val="20"/>
              </w:rPr>
              <w:t>Establishment of the Queensland Health Medical Specialist Colleges Virtual Forum. Continuation of the Medical Schools Liaison Committee.</w:t>
            </w:r>
          </w:p>
          <w:p w14:paraId="1A5B05E2" w14:textId="77777777" w:rsidR="00726DA6" w:rsidRPr="009B7586" w:rsidRDefault="00726DA6" w:rsidP="00C52117">
            <w:pPr>
              <w:pStyle w:val="BodyText"/>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B7586">
              <w:rPr>
                <w:sz w:val="20"/>
                <w:szCs w:val="20"/>
              </w:rPr>
              <w:t xml:space="preserve">Collaboration with the Commonwealth and other jurisdictions in relation to the development of the </w:t>
            </w:r>
            <w:r w:rsidRPr="009B7586">
              <w:rPr>
                <w:i/>
                <w:iCs/>
                <w:sz w:val="20"/>
                <w:szCs w:val="20"/>
              </w:rPr>
              <w:t>National Medical Workforce Strategy 2021 – 2031</w:t>
            </w:r>
            <w:r w:rsidRPr="009B7586">
              <w:rPr>
                <w:sz w:val="20"/>
                <w:szCs w:val="20"/>
              </w:rPr>
              <w:t>.</w:t>
            </w:r>
          </w:p>
        </w:tc>
      </w:tr>
      <w:tr w:rsidR="00726DA6" w14:paraId="6696494F" w14:textId="77777777" w:rsidTr="00C52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2" w:type="dxa"/>
            <w:vAlign w:val="top"/>
          </w:tcPr>
          <w:p w14:paraId="03AA5A38" w14:textId="77777777" w:rsidR="00726DA6" w:rsidRPr="009B7586" w:rsidRDefault="00726DA6" w:rsidP="00C52117">
            <w:pPr>
              <w:pStyle w:val="BodyText"/>
              <w:spacing w:line="276" w:lineRule="auto"/>
              <w:rPr>
                <w:b/>
                <w:bCs w:val="0"/>
                <w:sz w:val="20"/>
                <w:szCs w:val="20"/>
              </w:rPr>
            </w:pPr>
            <w:r w:rsidRPr="009B7586">
              <w:rPr>
                <w:b/>
                <w:bCs w:val="0"/>
                <w:sz w:val="20"/>
                <w:szCs w:val="20"/>
              </w:rPr>
              <w:t>Strengthening the primary care medical workforce</w:t>
            </w:r>
          </w:p>
          <w:p w14:paraId="3953BBBC" w14:textId="77777777" w:rsidR="00726DA6" w:rsidRPr="009B7586" w:rsidRDefault="00726DA6" w:rsidP="00C52117">
            <w:pPr>
              <w:pStyle w:val="BodyText"/>
              <w:spacing w:line="276" w:lineRule="auto"/>
              <w:rPr>
                <w:sz w:val="20"/>
                <w:szCs w:val="20"/>
              </w:rPr>
            </w:pPr>
            <w:r w:rsidRPr="009B7586">
              <w:rPr>
                <w:i/>
                <w:iCs/>
                <w:sz w:val="20"/>
                <w:szCs w:val="20"/>
              </w:rPr>
              <w:t>Supporting an appropriately skilled and distributed general practice workforce to meet Queensland’s primary health care needs, particularly in rural and remote areas.</w:t>
            </w:r>
          </w:p>
        </w:tc>
        <w:tc>
          <w:tcPr>
            <w:tcW w:w="4422" w:type="dxa"/>
            <w:tcBorders>
              <w:top w:val="single" w:sz="4" w:space="0" w:color="FFFFFF" w:themeColor="background1"/>
              <w:left w:val="single" w:sz="4" w:space="0" w:color="FFFFFF" w:themeColor="background1"/>
              <w:bottom w:val="single" w:sz="4" w:space="0" w:color="FFFFFF" w:themeColor="background1"/>
              <w:right w:val="nil"/>
            </w:tcBorders>
            <w:vAlign w:val="top"/>
            <w:hideMark/>
          </w:tcPr>
          <w:p w14:paraId="5C55E746" w14:textId="77777777" w:rsidR="00726DA6" w:rsidRPr="009B7586" w:rsidRDefault="00726DA6" w:rsidP="00C52117">
            <w:pPr>
              <w:pStyle w:val="BodyText"/>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B7586">
              <w:rPr>
                <w:sz w:val="20"/>
                <w:szCs w:val="20"/>
              </w:rPr>
              <w:t>Implementation of the Rural Doctors Upskilling Program to support the development and maintenance of a skilled general practice and rural generalist workforce to meet the medical service needs of regional, rural and remote Queensland.</w:t>
            </w:r>
          </w:p>
        </w:tc>
      </w:tr>
      <w:tr w:rsidR="00726DA6" w14:paraId="27D940B8" w14:textId="77777777" w:rsidTr="00C521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2" w:type="dxa"/>
            <w:vAlign w:val="top"/>
          </w:tcPr>
          <w:p w14:paraId="2E875695" w14:textId="77777777" w:rsidR="00726DA6" w:rsidRPr="009B7586" w:rsidRDefault="00726DA6" w:rsidP="00C52117">
            <w:pPr>
              <w:pStyle w:val="BodyText"/>
              <w:spacing w:line="276" w:lineRule="auto"/>
              <w:rPr>
                <w:b/>
                <w:bCs w:val="0"/>
                <w:sz w:val="20"/>
                <w:szCs w:val="20"/>
              </w:rPr>
            </w:pPr>
            <w:r w:rsidRPr="009B7586">
              <w:rPr>
                <w:b/>
                <w:bCs w:val="0"/>
                <w:sz w:val="20"/>
                <w:szCs w:val="20"/>
              </w:rPr>
              <w:t>Support for the next generation</w:t>
            </w:r>
          </w:p>
          <w:p w14:paraId="191167C6" w14:textId="77777777" w:rsidR="00726DA6" w:rsidRPr="009B7586" w:rsidRDefault="00726DA6" w:rsidP="00C52117">
            <w:pPr>
              <w:pStyle w:val="BodyText"/>
              <w:spacing w:line="276" w:lineRule="auto"/>
              <w:rPr>
                <w:sz w:val="20"/>
                <w:szCs w:val="20"/>
              </w:rPr>
            </w:pPr>
            <w:r w:rsidRPr="009B7586">
              <w:rPr>
                <w:i/>
                <w:iCs/>
                <w:sz w:val="20"/>
                <w:szCs w:val="20"/>
              </w:rPr>
              <w:t>Promote career options early and encourage graduates and junior doctors into specialties and locations where there is need.</w:t>
            </w:r>
          </w:p>
        </w:tc>
        <w:tc>
          <w:tcPr>
            <w:tcW w:w="4422" w:type="dxa"/>
            <w:tcBorders>
              <w:top w:val="single" w:sz="4" w:space="0" w:color="FFFFFF" w:themeColor="background1"/>
              <w:left w:val="single" w:sz="4" w:space="0" w:color="FFFFFF" w:themeColor="background1"/>
              <w:bottom w:val="single" w:sz="4" w:space="0" w:color="FFFFFF" w:themeColor="background1"/>
              <w:right w:val="nil"/>
            </w:tcBorders>
            <w:vAlign w:val="top"/>
            <w:hideMark/>
          </w:tcPr>
          <w:p w14:paraId="4BC6E202" w14:textId="77777777" w:rsidR="00726DA6" w:rsidRPr="009B7586" w:rsidRDefault="00726DA6" w:rsidP="00C52117">
            <w:pPr>
              <w:pStyle w:val="BodyText"/>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B7586">
              <w:rPr>
                <w:sz w:val="20"/>
                <w:szCs w:val="20"/>
              </w:rPr>
              <w:t>Development of the Medi-Nav medical careers website containing detailed workforce information and comparative capabilities for medical students and junior doctors.</w:t>
            </w:r>
          </w:p>
        </w:tc>
      </w:tr>
      <w:tr w:rsidR="00726DA6" w14:paraId="414E9226" w14:textId="77777777" w:rsidTr="00C52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2" w:type="dxa"/>
            <w:vAlign w:val="top"/>
          </w:tcPr>
          <w:p w14:paraId="54948C17" w14:textId="77777777" w:rsidR="00726DA6" w:rsidRPr="009B7586" w:rsidRDefault="00726DA6" w:rsidP="00C52117">
            <w:pPr>
              <w:pStyle w:val="BodyText"/>
              <w:spacing w:line="276" w:lineRule="auto"/>
              <w:rPr>
                <w:b/>
                <w:bCs w:val="0"/>
                <w:sz w:val="20"/>
                <w:szCs w:val="20"/>
              </w:rPr>
            </w:pPr>
            <w:r w:rsidRPr="009B7586">
              <w:rPr>
                <w:b/>
                <w:bCs w:val="0"/>
                <w:sz w:val="20"/>
                <w:szCs w:val="20"/>
              </w:rPr>
              <w:lastRenderedPageBreak/>
              <w:t>Securing a medical workforce to deliver services to regional and rural communities</w:t>
            </w:r>
          </w:p>
          <w:p w14:paraId="61CF1F80" w14:textId="77777777" w:rsidR="00726DA6" w:rsidRPr="009B7586" w:rsidRDefault="00726DA6" w:rsidP="00C52117">
            <w:pPr>
              <w:pStyle w:val="BodyText"/>
              <w:spacing w:line="276" w:lineRule="auto"/>
              <w:rPr>
                <w:bCs w:val="0"/>
                <w:i/>
                <w:iCs/>
                <w:sz w:val="20"/>
                <w:szCs w:val="20"/>
              </w:rPr>
            </w:pPr>
            <w:r w:rsidRPr="009B7586">
              <w:rPr>
                <w:i/>
                <w:iCs/>
                <w:sz w:val="20"/>
                <w:szCs w:val="20"/>
              </w:rPr>
              <w:t>Despite significant increases in the medical workforce, shortages in current and projected staffing requirements continue to have a proportionately greater impact on regional, rural and remote health services.</w:t>
            </w:r>
          </w:p>
          <w:p w14:paraId="61F866D6" w14:textId="77777777" w:rsidR="00726DA6" w:rsidRPr="009B7586" w:rsidRDefault="00726DA6" w:rsidP="00C52117">
            <w:pPr>
              <w:pStyle w:val="BodyText"/>
              <w:spacing w:line="276" w:lineRule="auto"/>
              <w:rPr>
                <w:sz w:val="20"/>
                <w:szCs w:val="20"/>
              </w:rPr>
            </w:pPr>
          </w:p>
        </w:tc>
        <w:tc>
          <w:tcPr>
            <w:tcW w:w="4422" w:type="dxa"/>
            <w:tcBorders>
              <w:top w:val="single" w:sz="4" w:space="0" w:color="FFFFFF" w:themeColor="background1"/>
              <w:left w:val="single" w:sz="4" w:space="0" w:color="FFFFFF" w:themeColor="background1"/>
              <w:bottom w:val="single" w:sz="4" w:space="0" w:color="FFFFFF" w:themeColor="background1"/>
              <w:right w:val="nil"/>
            </w:tcBorders>
            <w:vAlign w:val="top"/>
            <w:hideMark/>
          </w:tcPr>
          <w:p w14:paraId="118E0AD1" w14:textId="77777777" w:rsidR="00726DA6" w:rsidRPr="009B7586" w:rsidRDefault="00726DA6" w:rsidP="00C52117">
            <w:pPr>
              <w:pStyle w:val="BodyText"/>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B7586">
              <w:rPr>
                <w:sz w:val="20"/>
                <w:szCs w:val="20"/>
              </w:rPr>
              <w:t>Funding investments in two new regional medical pathways to produce home grown doctors and expand training capacity in regional, rural and remote communities:</w:t>
            </w:r>
          </w:p>
          <w:p w14:paraId="1141BD0F" w14:textId="77777777" w:rsidR="00726DA6" w:rsidRPr="009B7586" w:rsidRDefault="00726DA6" w:rsidP="00C52117">
            <w:pPr>
              <w:pStyle w:val="ListBullet"/>
              <w:numPr>
                <w:ilvl w:val="0"/>
                <w:numId w:val="34"/>
              </w:numPr>
              <w:spacing w:before="120" w:after="120" w:line="276" w:lineRule="auto"/>
              <w:cnfStyle w:val="000000100000" w:firstRow="0" w:lastRow="0" w:firstColumn="0" w:lastColumn="0" w:oddVBand="0" w:evenVBand="0" w:oddHBand="1" w:evenHBand="0" w:firstRowFirstColumn="0" w:firstRowLastColumn="0" w:lastRowFirstColumn="0" w:lastRowLastColumn="0"/>
              <w:rPr>
                <w:sz w:val="20"/>
                <w:szCs w:val="20"/>
                <w:lang w:eastAsia="en-US"/>
              </w:rPr>
            </w:pPr>
            <w:r w:rsidRPr="009B7586">
              <w:rPr>
                <w:sz w:val="20"/>
                <w:szCs w:val="20"/>
                <w:lang w:eastAsia="en-US"/>
              </w:rPr>
              <w:t>Central Queensland and Wide Bay Regional Medical Pathway</w:t>
            </w:r>
          </w:p>
          <w:p w14:paraId="21FEA6B7" w14:textId="77777777" w:rsidR="00726DA6" w:rsidRPr="009B7586" w:rsidRDefault="00726DA6" w:rsidP="00C52117">
            <w:pPr>
              <w:pStyle w:val="ListBullet"/>
              <w:numPr>
                <w:ilvl w:val="0"/>
                <w:numId w:val="34"/>
              </w:numPr>
              <w:spacing w:before="120" w:after="120" w:line="276" w:lineRule="auto"/>
              <w:cnfStyle w:val="000000100000" w:firstRow="0" w:lastRow="0" w:firstColumn="0" w:lastColumn="0" w:oddVBand="0" w:evenVBand="0" w:oddHBand="1" w:evenHBand="0" w:firstRowFirstColumn="0" w:firstRowLastColumn="0" w:lastRowFirstColumn="0" w:lastRowLastColumn="0"/>
              <w:rPr>
                <w:sz w:val="20"/>
                <w:szCs w:val="20"/>
                <w:lang w:eastAsia="en-US"/>
              </w:rPr>
            </w:pPr>
            <w:r w:rsidRPr="009B7586">
              <w:rPr>
                <w:sz w:val="20"/>
                <w:szCs w:val="20"/>
                <w:lang w:eastAsia="en-US"/>
              </w:rPr>
              <w:t>Darling Downs and South West Medical Pathway</w:t>
            </w:r>
          </w:p>
        </w:tc>
      </w:tr>
      <w:tr w:rsidR="00726DA6" w14:paraId="322FFDF2" w14:textId="77777777" w:rsidTr="00C521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2" w:type="dxa"/>
            <w:vAlign w:val="top"/>
          </w:tcPr>
          <w:p w14:paraId="7E498335" w14:textId="77777777" w:rsidR="00726DA6" w:rsidRPr="009B7586" w:rsidRDefault="00726DA6" w:rsidP="00C52117">
            <w:pPr>
              <w:pStyle w:val="BodyText"/>
              <w:spacing w:line="276" w:lineRule="auto"/>
              <w:rPr>
                <w:b/>
                <w:bCs w:val="0"/>
                <w:sz w:val="20"/>
                <w:szCs w:val="20"/>
              </w:rPr>
            </w:pPr>
            <w:r w:rsidRPr="009B7586">
              <w:rPr>
                <w:b/>
                <w:bCs w:val="0"/>
                <w:sz w:val="20"/>
                <w:szCs w:val="20"/>
              </w:rPr>
              <w:t>Enabling sustainability</w:t>
            </w:r>
          </w:p>
          <w:p w14:paraId="653B8C6D" w14:textId="77777777" w:rsidR="00726DA6" w:rsidRPr="009B7586" w:rsidRDefault="00726DA6" w:rsidP="00C52117">
            <w:pPr>
              <w:pStyle w:val="BodyText"/>
              <w:spacing w:line="276" w:lineRule="auto"/>
              <w:rPr>
                <w:sz w:val="20"/>
                <w:szCs w:val="20"/>
              </w:rPr>
            </w:pPr>
            <w:r w:rsidRPr="009B7586">
              <w:rPr>
                <w:i/>
                <w:iCs/>
                <w:sz w:val="20"/>
                <w:szCs w:val="20"/>
              </w:rPr>
              <w:t>Investment in Queensland’s future medical leaders.</w:t>
            </w:r>
          </w:p>
        </w:tc>
        <w:tc>
          <w:tcPr>
            <w:tcW w:w="4422" w:type="dxa"/>
            <w:tcBorders>
              <w:top w:val="single" w:sz="4" w:space="0" w:color="FFFFFF" w:themeColor="background1"/>
              <w:left w:val="single" w:sz="4" w:space="0" w:color="FFFFFF" w:themeColor="background1"/>
              <w:bottom w:val="single" w:sz="4" w:space="0" w:color="FFFFFF" w:themeColor="background1"/>
              <w:right w:val="nil"/>
            </w:tcBorders>
            <w:vAlign w:val="top"/>
            <w:hideMark/>
          </w:tcPr>
          <w:p w14:paraId="38871B52" w14:textId="77777777" w:rsidR="00726DA6" w:rsidRPr="009B7586" w:rsidRDefault="00726DA6" w:rsidP="00C52117">
            <w:pPr>
              <w:pStyle w:val="BodyText"/>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9B7586">
              <w:rPr>
                <w:sz w:val="20"/>
                <w:szCs w:val="20"/>
              </w:rPr>
              <w:t>Expansion of leadership programs to support the professional development of current and potential medical managers, leaders and supervisors.</w:t>
            </w:r>
          </w:p>
        </w:tc>
      </w:tr>
      <w:tr w:rsidR="00726DA6" w14:paraId="08AD46EF" w14:textId="77777777" w:rsidTr="00C52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2" w:type="dxa"/>
            <w:vAlign w:val="top"/>
            <w:hideMark/>
          </w:tcPr>
          <w:p w14:paraId="762DE8A1" w14:textId="77777777" w:rsidR="00726DA6" w:rsidRDefault="00726DA6" w:rsidP="00C52117">
            <w:pPr>
              <w:pStyle w:val="BodyText"/>
              <w:spacing w:line="276" w:lineRule="auto"/>
              <w:rPr>
                <w:b/>
                <w:szCs w:val="20"/>
              </w:rPr>
            </w:pPr>
            <w:r w:rsidRPr="009B7586">
              <w:rPr>
                <w:b/>
                <w:bCs w:val="0"/>
                <w:sz w:val="20"/>
                <w:szCs w:val="20"/>
              </w:rPr>
              <w:t>Fostering the health and wellbeing of our medical workforce</w:t>
            </w:r>
          </w:p>
          <w:p w14:paraId="5A425FC6" w14:textId="738F260B" w:rsidR="00726DA6" w:rsidRPr="009B7586" w:rsidRDefault="00726DA6" w:rsidP="00C52117">
            <w:pPr>
              <w:pStyle w:val="BodyText"/>
              <w:spacing w:line="276" w:lineRule="auto"/>
              <w:rPr>
                <w:b/>
                <w:bCs w:val="0"/>
                <w:sz w:val="20"/>
                <w:szCs w:val="20"/>
              </w:rPr>
            </w:pPr>
            <w:r>
              <w:rPr>
                <w:i/>
                <w:iCs/>
                <w:sz w:val="20"/>
                <w:szCs w:val="20"/>
              </w:rPr>
              <w:t>Support</w:t>
            </w:r>
            <w:r w:rsidR="009C7746">
              <w:rPr>
                <w:i/>
                <w:iCs/>
                <w:sz w:val="20"/>
                <w:szCs w:val="20"/>
              </w:rPr>
              <w:t>ing</w:t>
            </w:r>
            <w:r>
              <w:rPr>
                <w:i/>
                <w:iCs/>
                <w:sz w:val="20"/>
                <w:szCs w:val="20"/>
              </w:rPr>
              <w:t xml:space="preserve"> the medical practitioner workforce via targeted initiatives or interventions which address wellbeing issues and promote cultural change</w:t>
            </w:r>
            <w:r w:rsidRPr="009B7586">
              <w:rPr>
                <w:i/>
                <w:iCs/>
                <w:sz w:val="20"/>
                <w:szCs w:val="20"/>
              </w:rPr>
              <w:t>.</w:t>
            </w:r>
          </w:p>
        </w:tc>
        <w:tc>
          <w:tcPr>
            <w:tcW w:w="4422" w:type="dxa"/>
            <w:tcBorders>
              <w:top w:val="single" w:sz="4" w:space="0" w:color="FFFFFF" w:themeColor="background1"/>
              <w:left w:val="single" w:sz="4" w:space="0" w:color="FFFFFF" w:themeColor="background1"/>
              <w:bottom w:val="single" w:sz="4" w:space="0" w:color="FFFFFF" w:themeColor="background1"/>
              <w:right w:val="nil"/>
            </w:tcBorders>
            <w:vAlign w:val="top"/>
            <w:hideMark/>
          </w:tcPr>
          <w:p w14:paraId="3F610F5D" w14:textId="77777777" w:rsidR="00726DA6" w:rsidRPr="009B7586" w:rsidRDefault="00726DA6" w:rsidP="00C52117">
            <w:pPr>
              <w:pStyle w:val="BodyText"/>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B7586">
              <w:rPr>
                <w:sz w:val="20"/>
                <w:szCs w:val="20"/>
              </w:rPr>
              <w:t>Establishment of a statewide Wellbeing Working Group.</w:t>
            </w:r>
          </w:p>
          <w:p w14:paraId="099733DC" w14:textId="77777777" w:rsidR="00726DA6" w:rsidRPr="009B7586" w:rsidRDefault="00726DA6" w:rsidP="00C52117">
            <w:pPr>
              <w:pStyle w:val="BodyText"/>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B7586">
              <w:rPr>
                <w:sz w:val="20"/>
                <w:szCs w:val="20"/>
              </w:rPr>
              <w:t xml:space="preserve">Delivery of the </w:t>
            </w:r>
            <w:r w:rsidRPr="009B7586">
              <w:rPr>
                <w:i/>
                <w:iCs/>
                <w:sz w:val="20"/>
                <w:szCs w:val="20"/>
              </w:rPr>
              <w:t>Wellbeing at Work</w:t>
            </w:r>
            <w:r w:rsidRPr="009B7586">
              <w:rPr>
                <w:sz w:val="20"/>
                <w:szCs w:val="20"/>
              </w:rPr>
              <w:t xml:space="preserve"> program to all medical interns across the state</w:t>
            </w:r>
            <w:r>
              <w:rPr>
                <w:sz w:val="20"/>
                <w:szCs w:val="20"/>
              </w:rPr>
              <w:t xml:space="preserve"> followed by a suite of online wellbeing education and training modules for junior doctors</w:t>
            </w:r>
            <w:r w:rsidRPr="009B7586">
              <w:rPr>
                <w:sz w:val="20"/>
                <w:szCs w:val="20"/>
              </w:rPr>
              <w:t>.</w:t>
            </w:r>
          </w:p>
        </w:tc>
      </w:tr>
    </w:tbl>
    <w:p w14:paraId="7093CBA2" w14:textId="77777777" w:rsidR="00E92DE3" w:rsidRPr="00E92DE3" w:rsidRDefault="00E92DE3" w:rsidP="00093B66">
      <w:pPr>
        <w:pStyle w:val="BodyText"/>
        <w:rPr>
          <w:lang w:eastAsia="en-AU"/>
        </w:rPr>
      </w:pPr>
    </w:p>
    <w:sectPr w:rsidR="00E92DE3" w:rsidRPr="00E92DE3" w:rsidSect="00726DA6">
      <w:headerReference w:type="default" r:id="rId25"/>
      <w:footerReference w:type="default" r:id="rId26"/>
      <w:headerReference w:type="first" r:id="rId27"/>
      <w:footerReference w:type="first" r:id="rId28"/>
      <w:pgSz w:w="11900" w:h="16840"/>
      <w:pgMar w:top="1440" w:right="1440" w:bottom="1440"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E5E2" w14:textId="77777777" w:rsidR="00555C84" w:rsidRDefault="00555C84" w:rsidP="005655C9">
      <w:pPr>
        <w:spacing w:line="240" w:lineRule="auto"/>
      </w:pPr>
      <w:r>
        <w:separator/>
      </w:r>
    </w:p>
    <w:p w14:paraId="67E8DA1A" w14:textId="77777777" w:rsidR="00555C84" w:rsidRDefault="00555C84"/>
    <w:p w14:paraId="6B0410D4" w14:textId="77777777" w:rsidR="00555C84" w:rsidRDefault="00555C84" w:rsidP="00952B5B"/>
    <w:p w14:paraId="160678C0" w14:textId="77777777" w:rsidR="00555C84" w:rsidRDefault="00555C84" w:rsidP="00952B5B"/>
    <w:p w14:paraId="1153083D" w14:textId="77777777" w:rsidR="00555C84" w:rsidRDefault="00555C84"/>
    <w:p w14:paraId="396FBF43" w14:textId="77777777" w:rsidR="00555C84" w:rsidRDefault="00555C84"/>
    <w:p w14:paraId="0F094289" w14:textId="77777777" w:rsidR="00555C84" w:rsidRDefault="00555C84"/>
    <w:p w14:paraId="714A4966" w14:textId="77777777" w:rsidR="00555C84" w:rsidRDefault="00555C84"/>
  </w:endnote>
  <w:endnote w:type="continuationSeparator" w:id="0">
    <w:p w14:paraId="67662300" w14:textId="77777777" w:rsidR="00555C84" w:rsidRDefault="00555C84" w:rsidP="005655C9">
      <w:pPr>
        <w:spacing w:line="240" w:lineRule="auto"/>
      </w:pPr>
      <w:r>
        <w:continuationSeparator/>
      </w:r>
    </w:p>
    <w:p w14:paraId="5459A43F" w14:textId="77777777" w:rsidR="00555C84" w:rsidRDefault="00555C84"/>
    <w:p w14:paraId="0DFED849" w14:textId="77777777" w:rsidR="00555C84" w:rsidRDefault="00555C84" w:rsidP="00952B5B"/>
    <w:p w14:paraId="04BC225E" w14:textId="77777777" w:rsidR="00555C84" w:rsidRDefault="00555C84" w:rsidP="00952B5B"/>
    <w:p w14:paraId="407F2C51" w14:textId="77777777" w:rsidR="00555C84" w:rsidRDefault="00555C84"/>
    <w:p w14:paraId="69D3F3CB" w14:textId="77777777" w:rsidR="00555C84" w:rsidRDefault="00555C84"/>
    <w:p w14:paraId="033CA0D2" w14:textId="77777777" w:rsidR="00555C84" w:rsidRDefault="00555C84"/>
    <w:p w14:paraId="47F2453F" w14:textId="77777777" w:rsidR="00555C84" w:rsidRDefault="00555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ira Sans Black">
    <w:altName w:val="Fira Sans Black"/>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09B0" w14:textId="385E0CB2" w:rsidR="00DD3033" w:rsidRDefault="0032445F"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4A50E0">
          <w:t>Funding opportunity process guidelines</w:t>
        </w:r>
      </w:sdtContent>
    </w:sdt>
    <w:r w:rsidR="00DD3033">
      <w:t xml:space="preserve"> - </w:t>
    </w:r>
    <w:sdt>
      <w:sdtPr>
        <w:alias w:val="Subject"/>
        <w:tag w:val=""/>
        <w:id w:val="-629171801"/>
        <w:dataBinding w:prefixMappings="xmlns:ns0='http://purl.org/dc/elements/1.1/' xmlns:ns1='http://schemas.openxmlformats.org/package/2006/metadata/core-properties' " w:xpath="/ns1:coreProperties[1]/ns0:subject[1]" w:storeItemID="{6C3C8BC8-F283-45AE-878A-BAB7291924A1}"/>
        <w:text/>
      </w:sdtPr>
      <w:sdtEndPr/>
      <w:sdtContent>
        <w:r w:rsidR="00D00368">
          <w:t>Medical Practitioner Workforce Plan for Queensland</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7C97" w14:textId="10C7E8D8"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3FC7923B" wp14:editId="6641BA72">
          <wp:simplePos x="0" y="0"/>
          <wp:positionH relativeFrom="column">
            <wp:posOffset>4189730</wp:posOffset>
          </wp:positionH>
          <wp:positionV relativeFrom="page">
            <wp:posOffset>9819880</wp:posOffset>
          </wp:positionV>
          <wp:extent cx="1501775" cy="490220"/>
          <wp:effectExtent l="0" t="0" r="3175" b="5080"/>
          <wp:wrapSquare wrapText="bothSides"/>
          <wp:docPr id="18" name="Picture 18"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B4BDF5A93B884CF0AA74C2794F356A11"/>
        </w:placeholder>
        <w:dataBinding w:prefixMappings="xmlns:ns0='http://purl.org/dc/elements/1.1/' xmlns:ns1='http://schemas.openxmlformats.org/package/2006/metadata/core-properties' " w:xpath="/ns1:coreProperties[1]/ns0:title[1]" w:storeItemID="{6C3C8BC8-F283-45AE-878A-BAB7291924A1}"/>
        <w:text/>
      </w:sdtPr>
      <w:sdtEndPr/>
      <w:sdtContent>
        <w:r w:rsidR="004A50E0">
          <w:t>Funding opportunity process guidelines</w:t>
        </w:r>
      </w:sdtContent>
    </w:sdt>
    <w:r>
      <w:t xml:space="preserve"> - </w:t>
    </w:r>
    <w:sdt>
      <w:sdtPr>
        <w:alias w:val="Subject"/>
        <w:tag w:val=""/>
        <w:id w:val="-15861287"/>
        <w:placeholder>
          <w:docPart w:val="F75E0BEB5A1B470ABB0B1DB352540D72"/>
        </w:placeholder>
        <w:dataBinding w:prefixMappings="xmlns:ns0='http://purl.org/dc/elements/1.1/' xmlns:ns1='http://schemas.openxmlformats.org/package/2006/metadata/core-properties' " w:xpath="/ns1:coreProperties[1]/ns0:subject[1]" w:storeItemID="{6C3C8BC8-F283-45AE-878A-BAB7291924A1}"/>
        <w:text/>
      </w:sdtPr>
      <w:sdtEndPr/>
      <w:sdtContent>
        <w:r w:rsidR="00D00368">
          <w:t>Medical Practitioner Workforce Plan for Queensland</w:t>
        </w:r>
      </w:sdtContent>
    </w:sdt>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F9C9" w14:textId="77777777" w:rsidR="001833AB" w:rsidRDefault="00724A75">
    <w:pPr>
      <w:pStyle w:val="Footer"/>
    </w:pPr>
    <w:r>
      <w:rPr>
        <w:noProof/>
      </w:rPr>
      <w:drawing>
        <wp:anchor distT="0" distB="0" distL="114300" distR="114300" simplePos="0" relativeHeight="251678720" behindDoc="1" locked="0" layoutInCell="1" allowOverlap="1" wp14:anchorId="4781B84F" wp14:editId="56887A13">
          <wp:simplePos x="0" y="0"/>
          <wp:positionH relativeFrom="page">
            <wp:align>right</wp:align>
          </wp:positionH>
          <wp:positionV relativeFrom="bottomMargin">
            <wp:align>top</wp:align>
          </wp:positionV>
          <wp:extent cx="10683240" cy="968375"/>
          <wp:effectExtent l="0" t="0" r="3810" b="3175"/>
          <wp:wrapNone/>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3240" cy="96837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8597" w14:textId="77777777" w:rsidR="001833AB" w:rsidRDefault="00724A75">
    <w:pPr>
      <w:pStyle w:val="Footer"/>
    </w:pPr>
    <w:r>
      <w:rPr>
        <w:noProof/>
      </w:rPr>
      <w:drawing>
        <wp:anchor distT="0" distB="0" distL="114300" distR="114300" simplePos="0" relativeHeight="251676672" behindDoc="1" locked="0" layoutInCell="1" allowOverlap="1" wp14:anchorId="36B93F2A" wp14:editId="7BB8EF25">
          <wp:simplePos x="0" y="0"/>
          <wp:positionH relativeFrom="page">
            <wp:align>right</wp:align>
          </wp:positionH>
          <wp:positionV relativeFrom="bottomMargin">
            <wp:align>top</wp:align>
          </wp:positionV>
          <wp:extent cx="10683240" cy="968375"/>
          <wp:effectExtent l="0" t="0" r="3810" b="3175"/>
          <wp:wrapNone/>
          <wp:docPr id="1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3240" cy="96837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FA96" w14:textId="77777777" w:rsidR="00555C84" w:rsidRPr="00DB3896" w:rsidRDefault="00555C84" w:rsidP="00DB3896">
      <w:pPr>
        <w:spacing w:line="240" w:lineRule="auto"/>
        <w:rPr>
          <w:color w:val="D9D9D9" w:themeColor="background1" w:themeShade="D9"/>
        </w:rPr>
      </w:pPr>
      <w:r w:rsidRPr="007638A8">
        <w:rPr>
          <w:color w:val="D9D9D9" w:themeColor="background1" w:themeShade="D9"/>
        </w:rPr>
        <w:separator/>
      </w:r>
    </w:p>
    <w:p w14:paraId="4133F7BA" w14:textId="77777777" w:rsidR="00555C84" w:rsidRDefault="00555C84"/>
    <w:p w14:paraId="01B36CFF" w14:textId="77777777" w:rsidR="00555C84" w:rsidRDefault="00555C84"/>
    <w:p w14:paraId="5B691E9E" w14:textId="77777777" w:rsidR="00555C84" w:rsidRDefault="00555C84"/>
  </w:footnote>
  <w:footnote w:type="continuationSeparator" w:id="0">
    <w:p w14:paraId="29A89C95" w14:textId="77777777" w:rsidR="00555C84" w:rsidRDefault="00555C84" w:rsidP="005655C9">
      <w:pPr>
        <w:spacing w:line="240" w:lineRule="auto"/>
      </w:pPr>
      <w:r>
        <w:continuationSeparator/>
      </w:r>
    </w:p>
    <w:p w14:paraId="448BC630" w14:textId="77777777" w:rsidR="00555C84" w:rsidRDefault="00555C84"/>
    <w:p w14:paraId="413EF2E8" w14:textId="77777777" w:rsidR="00555C84" w:rsidRDefault="00555C84" w:rsidP="00952B5B"/>
    <w:p w14:paraId="26F99576" w14:textId="77777777" w:rsidR="00555C84" w:rsidRDefault="00555C84" w:rsidP="00952B5B"/>
    <w:p w14:paraId="4FE787EA" w14:textId="77777777" w:rsidR="00555C84" w:rsidRDefault="00555C84"/>
    <w:p w14:paraId="0055F0C2" w14:textId="77777777" w:rsidR="00555C84" w:rsidRDefault="00555C84"/>
    <w:p w14:paraId="7C01E04B" w14:textId="77777777" w:rsidR="00555C84" w:rsidRDefault="00555C84"/>
    <w:p w14:paraId="6F06A8B0" w14:textId="77777777" w:rsidR="00555C84" w:rsidRDefault="00555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8688" w14:textId="77777777" w:rsidR="0019023A" w:rsidRDefault="003F003B">
    <w:pPr>
      <w:pStyle w:val="Header"/>
    </w:pPr>
    <w:r>
      <w:rPr>
        <w:noProof/>
      </w:rPr>
      <w:drawing>
        <wp:anchor distT="0" distB="0" distL="114300" distR="114300" simplePos="0" relativeHeight="251673600" behindDoc="1" locked="0" layoutInCell="1" allowOverlap="1" wp14:anchorId="1D0AFE85" wp14:editId="49D30730">
          <wp:simplePos x="0" y="0"/>
          <wp:positionH relativeFrom="page">
            <wp:posOffset>-57150</wp:posOffset>
          </wp:positionH>
          <wp:positionV relativeFrom="page">
            <wp:align>top</wp:align>
          </wp:positionV>
          <wp:extent cx="15120000" cy="356400"/>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noChangeArrowheads="1"/>
                  </pic:cNvPicPr>
                </pic:nvPicPr>
                <pic:blipFill>
                  <a:blip r:embed="rId1"/>
                  <a:stretch>
                    <a:fillRect/>
                  </a:stretch>
                </pic:blipFill>
                <pic:spPr bwMode="auto">
                  <a:xfrm>
                    <a:off x="0" y="0"/>
                    <a:ext cx="15120000" cy="3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8D264" w14:textId="77777777" w:rsidR="0019023A" w:rsidRDefault="001902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2CA9" w14:textId="77777777" w:rsidR="001833AB" w:rsidRDefault="00724A75">
    <w:pPr>
      <w:pStyle w:val="Header"/>
    </w:pPr>
    <w:r>
      <w:rPr>
        <w:noProof/>
      </w:rPr>
      <w:drawing>
        <wp:anchor distT="0" distB="0" distL="114300" distR="114300" simplePos="0" relativeHeight="251677696" behindDoc="1" locked="0" layoutInCell="1" allowOverlap="1" wp14:anchorId="7262DBE9" wp14:editId="559B726E">
          <wp:simplePos x="0" y="0"/>
          <wp:positionH relativeFrom="page">
            <wp:align>left</wp:align>
          </wp:positionH>
          <wp:positionV relativeFrom="page">
            <wp:posOffset>11835</wp:posOffset>
          </wp:positionV>
          <wp:extent cx="15120000" cy="35640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noChangeArrowheads="1"/>
                  </pic:cNvPicPr>
                </pic:nvPicPr>
                <pic:blipFill>
                  <a:blip r:embed="rId1"/>
                  <a:stretch>
                    <a:fillRect/>
                  </a:stretch>
                </pic:blipFill>
                <pic:spPr bwMode="auto">
                  <a:xfrm>
                    <a:off x="0" y="0"/>
                    <a:ext cx="15120000" cy="35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FD2B" w14:textId="77777777" w:rsidR="001833AB" w:rsidRDefault="00724A75">
    <w:pPr>
      <w:pStyle w:val="Header"/>
    </w:pPr>
    <w:r>
      <w:rPr>
        <w:noProof/>
      </w:rPr>
      <w:drawing>
        <wp:anchor distT="0" distB="0" distL="114300" distR="114300" simplePos="0" relativeHeight="251675648" behindDoc="1" locked="0" layoutInCell="1" allowOverlap="1" wp14:anchorId="4CC020C4" wp14:editId="01B5CE55">
          <wp:simplePos x="0" y="0"/>
          <wp:positionH relativeFrom="page">
            <wp:align>left</wp:align>
          </wp:positionH>
          <wp:positionV relativeFrom="page">
            <wp:posOffset>11835</wp:posOffset>
          </wp:positionV>
          <wp:extent cx="15120000" cy="3564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noChangeArrowheads="1"/>
                  </pic:cNvPicPr>
                </pic:nvPicPr>
                <pic:blipFill>
                  <a:blip r:embed="rId1"/>
                  <a:stretch>
                    <a:fillRect/>
                  </a:stretch>
                </pic:blipFill>
                <pic:spPr bwMode="auto">
                  <a:xfrm>
                    <a:off x="0" y="0"/>
                    <a:ext cx="15120000" cy="35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5320BB"/>
    <w:multiLevelType w:val="hybridMultilevel"/>
    <w:tmpl w:val="9CB8EE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8020A4"/>
    <w:multiLevelType w:val="multilevel"/>
    <w:tmpl w:val="5A8C04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4A0669"/>
    <w:multiLevelType w:val="hybridMultilevel"/>
    <w:tmpl w:val="4E8E0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6023AB"/>
    <w:multiLevelType w:val="multilevel"/>
    <w:tmpl w:val="2CBA595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383947"/>
    <w:multiLevelType w:val="hybridMultilevel"/>
    <w:tmpl w:val="1764C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BE39F7"/>
    <w:multiLevelType w:val="hybridMultilevel"/>
    <w:tmpl w:val="E35018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EA5448"/>
    <w:multiLevelType w:val="hybridMultilevel"/>
    <w:tmpl w:val="10EEEF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0EE782C"/>
    <w:multiLevelType w:val="hybridMultilevel"/>
    <w:tmpl w:val="A81016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4660F1"/>
    <w:multiLevelType w:val="multilevel"/>
    <w:tmpl w:val="9C060F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2D974A5"/>
    <w:multiLevelType w:val="hybridMultilevel"/>
    <w:tmpl w:val="74F0A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192A14"/>
    <w:multiLevelType w:val="multilevel"/>
    <w:tmpl w:val="9C060F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186342"/>
    <w:multiLevelType w:val="multilevel"/>
    <w:tmpl w:val="2CBA595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AB45A20"/>
    <w:multiLevelType w:val="hybridMultilevel"/>
    <w:tmpl w:val="DC1A8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D3850E7"/>
    <w:multiLevelType w:val="multilevel"/>
    <w:tmpl w:val="2CBA595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D9B130B"/>
    <w:multiLevelType w:val="multilevel"/>
    <w:tmpl w:val="9E2A3AB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D9B2AD1"/>
    <w:multiLevelType w:val="multilevel"/>
    <w:tmpl w:val="DBE099F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E02B1C"/>
    <w:multiLevelType w:val="hybridMultilevel"/>
    <w:tmpl w:val="0EC054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094328"/>
    <w:multiLevelType w:val="multilevel"/>
    <w:tmpl w:val="C2FE460C"/>
    <w:numStyleLink w:val="Bullets"/>
  </w:abstractNum>
  <w:abstractNum w:abstractNumId="24" w15:restartNumberingAfterBreak="0">
    <w:nsid w:val="4A1428A3"/>
    <w:multiLevelType w:val="hybridMultilevel"/>
    <w:tmpl w:val="4042A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26" w15:restartNumberingAfterBreak="0">
    <w:nsid w:val="5C706E13"/>
    <w:multiLevelType w:val="multilevel"/>
    <w:tmpl w:val="4F9476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0E874A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3B4427"/>
    <w:multiLevelType w:val="multilevel"/>
    <w:tmpl w:val="4F9476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65F2A27"/>
    <w:multiLevelType w:val="hybridMultilevel"/>
    <w:tmpl w:val="CBF06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70751F3"/>
    <w:multiLevelType w:val="hybridMultilevel"/>
    <w:tmpl w:val="1ACA0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1F3189"/>
    <w:multiLevelType w:val="hybridMultilevel"/>
    <w:tmpl w:val="4482B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65611B"/>
    <w:multiLevelType w:val="hybridMultilevel"/>
    <w:tmpl w:val="5F40A8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FD6C5D"/>
    <w:multiLevelType w:val="multilevel"/>
    <w:tmpl w:val="991AF7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8536A92"/>
    <w:multiLevelType w:val="hybridMultilevel"/>
    <w:tmpl w:val="3DD465B0"/>
    <w:lvl w:ilvl="0" w:tplc="4EEADCB8">
      <w:numFmt w:val="bullet"/>
      <w:lvlText w:val="-"/>
      <w:lvlJc w:val="left"/>
      <w:pPr>
        <w:ind w:left="720" w:hanging="360"/>
      </w:pPr>
      <w:rPr>
        <w:rFonts w:ascii="Fira Sans" w:eastAsiaTheme="minorHAnsi" w:hAnsi="Fira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E319F8"/>
    <w:multiLevelType w:val="hybridMultilevel"/>
    <w:tmpl w:val="F46EA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60709B"/>
    <w:multiLevelType w:val="multilevel"/>
    <w:tmpl w:val="6AAA9CE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0"/>
  </w:num>
  <w:num w:numId="3">
    <w:abstractNumId w:val="18"/>
  </w:num>
  <w:num w:numId="4">
    <w:abstractNumId w:val="13"/>
  </w:num>
  <w:num w:numId="5">
    <w:abstractNumId w:val="25"/>
  </w:num>
  <w:num w:numId="6">
    <w:abstractNumId w:val="23"/>
  </w:num>
  <w:num w:numId="7">
    <w:abstractNumId w:val="3"/>
  </w:num>
  <w:num w:numId="8">
    <w:abstractNumId w:val="24"/>
  </w:num>
  <w:num w:numId="9">
    <w:abstractNumId w:val="6"/>
  </w:num>
  <w:num w:numId="10">
    <w:abstractNumId w:val="8"/>
  </w:num>
  <w:num w:numId="11">
    <w:abstractNumId w:val="32"/>
  </w:num>
  <w:num w:numId="12">
    <w:abstractNumId w:val="14"/>
  </w:num>
  <w:num w:numId="13">
    <w:abstractNumId w:val="20"/>
  </w:num>
  <w:num w:numId="14">
    <w:abstractNumId w:val="33"/>
  </w:num>
  <w:num w:numId="15">
    <w:abstractNumId w:val="30"/>
  </w:num>
  <w:num w:numId="16">
    <w:abstractNumId w:val="10"/>
  </w:num>
  <w:num w:numId="17">
    <w:abstractNumId w:val="28"/>
  </w:num>
  <w:num w:numId="18">
    <w:abstractNumId w:val="4"/>
  </w:num>
  <w:num w:numId="19">
    <w:abstractNumId w:val="26"/>
  </w:num>
  <w:num w:numId="20">
    <w:abstractNumId w:val="21"/>
  </w:num>
  <w:num w:numId="21">
    <w:abstractNumId w:val="16"/>
  </w:num>
  <w:num w:numId="22">
    <w:abstractNumId w:val="19"/>
  </w:num>
  <w:num w:numId="23">
    <w:abstractNumId w:val="2"/>
  </w:num>
  <w:num w:numId="24">
    <w:abstractNumId w:val="29"/>
  </w:num>
  <w:num w:numId="25">
    <w:abstractNumId w:val="7"/>
  </w:num>
  <w:num w:numId="26">
    <w:abstractNumId w:val="31"/>
  </w:num>
  <w:num w:numId="27">
    <w:abstractNumId w:val="5"/>
  </w:num>
  <w:num w:numId="28">
    <w:abstractNumId w:val="22"/>
  </w:num>
  <w:num w:numId="29">
    <w:abstractNumId w:val="15"/>
  </w:num>
  <w:num w:numId="30">
    <w:abstractNumId w:val="12"/>
  </w:num>
  <w:num w:numId="31">
    <w:abstractNumId w:val="36"/>
  </w:num>
  <w:num w:numId="32">
    <w:abstractNumId w:val="27"/>
  </w:num>
  <w:num w:numId="33">
    <w:abstractNumId w:val="35"/>
  </w:num>
  <w:num w:numId="34">
    <w:abstractNumId w:val="23"/>
    <w:lvlOverride w:ilvl="0">
      <w:lvl w:ilvl="0">
        <w:start w:val="1"/>
        <w:numFmt w:val="decimal"/>
        <w:pStyle w:val="ListBullet"/>
        <w:lvlText w:val=""/>
        <w:lvlJc w:val="left"/>
        <w:pPr>
          <w:ind w:left="360" w:hanging="360"/>
        </w:pPr>
        <w:rPr>
          <w:rFonts w:ascii="Symbol" w:hAnsi="Symbol" w:hint="default"/>
          <w:color w:val="0F5CA2" w:themeColor="accent1"/>
          <w:sz w:val="21"/>
          <w:szCs w:val="21"/>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5">
    <w:abstractNumId w:val="34"/>
  </w:num>
  <w:num w:numId="36">
    <w:abstractNumId w:val="1"/>
  </w:num>
  <w:num w:numId="37">
    <w:abstractNumId w:val="17"/>
  </w:num>
  <w:num w:numId="3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hideSpellingErrors/>
  <w:hideGrammaticalErrors/>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68"/>
    <w:rsid w:val="0000006D"/>
    <w:rsid w:val="00002B1B"/>
    <w:rsid w:val="0000330E"/>
    <w:rsid w:val="0000469F"/>
    <w:rsid w:val="00004C05"/>
    <w:rsid w:val="000102BA"/>
    <w:rsid w:val="000102EE"/>
    <w:rsid w:val="00011ACB"/>
    <w:rsid w:val="00016271"/>
    <w:rsid w:val="000177FA"/>
    <w:rsid w:val="0002066B"/>
    <w:rsid w:val="00020E27"/>
    <w:rsid w:val="00022D7A"/>
    <w:rsid w:val="00022DDB"/>
    <w:rsid w:val="00030AB2"/>
    <w:rsid w:val="00030BD1"/>
    <w:rsid w:val="000317F2"/>
    <w:rsid w:val="000379C7"/>
    <w:rsid w:val="00041232"/>
    <w:rsid w:val="0004535D"/>
    <w:rsid w:val="00047071"/>
    <w:rsid w:val="00050FE6"/>
    <w:rsid w:val="00052F85"/>
    <w:rsid w:val="00054FA5"/>
    <w:rsid w:val="000563EB"/>
    <w:rsid w:val="00056BD6"/>
    <w:rsid w:val="0005728F"/>
    <w:rsid w:val="00060860"/>
    <w:rsid w:val="00065A54"/>
    <w:rsid w:val="00066B7B"/>
    <w:rsid w:val="000712C1"/>
    <w:rsid w:val="00071708"/>
    <w:rsid w:val="000738DD"/>
    <w:rsid w:val="00073925"/>
    <w:rsid w:val="00077EFB"/>
    <w:rsid w:val="00081256"/>
    <w:rsid w:val="00082AE4"/>
    <w:rsid w:val="00082F11"/>
    <w:rsid w:val="0008374B"/>
    <w:rsid w:val="00090157"/>
    <w:rsid w:val="00090524"/>
    <w:rsid w:val="00091A60"/>
    <w:rsid w:val="00093B66"/>
    <w:rsid w:val="00093BC2"/>
    <w:rsid w:val="000966DF"/>
    <w:rsid w:val="00096726"/>
    <w:rsid w:val="000970A8"/>
    <w:rsid w:val="00097362"/>
    <w:rsid w:val="000A06CE"/>
    <w:rsid w:val="000A0A62"/>
    <w:rsid w:val="000A0ACD"/>
    <w:rsid w:val="000A32B2"/>
    <w:rsid w:val="000A5480"/>
    <w:rsid w:val="000A5C61"/>
    <w:rsid w:val="000A66BF"/>
    <w:rsid w:val="000A71FA"/>
    <w:rsid w:val="000B2BCA"/>
    <w:rsid w:val="000B4B6C"/>
    <w:rsid w:val="000B72B4"/>
    <w:rsid w:val="000C4228"/>
    <w:rsid w:val="000D154F"/>
    <w:rsid w:val="000D31C5"/>
    <w:rsid w:val="000D359C"/>
    <w:rsid w:val="000D3BDA"/>
    <w:rsid w:val="000E1F6E"/>
    <w:rsid w:val="000F1ED2"/>
    <w:rsid w:val="000F2801"/>
    <w:rsid w:val="001010D2"/>
    <w:rsid w:val="00101203"/>
    <w:rsid w:val="00102B00"/>
    <w:rsid w:val="00102FEC"/>
    <w:rsid w:val="0010338A"/>
    <w:rsid w:val="0010463C"/>
    <w:rsid w:val="0011176B"/>
    <w:rsid w:val="001243D4"/>
    <w:rsid w:val="00124772"/>
    <w:rsid w:val="00130C62"/>
    <w:rsid w:val="00132864"/>
    <w:rsid w:val="00133282"/>
    <w:rsid w:val="00134678"/>
    <w:rsid w:val="00134B0A"/>
    <w:rsid w:val="001426FC"/>
    <w:rsid w:val="00142919"/>
    <w:rsid w:val="001447CF"/>
    <w:rsid w:val="00154397"/>
    <w:rsid w:val="0015524D"/>
    <w:rsid w:val="0016168E"/>
    <w:rsid w:val="00166E39"/>
    <w:rsid w:val="001702DA"/>
    <w:rsid w:val="001723D9"/>
    <w:rsid w:val="00172DEA"/>
    <w:rsid w:val="001736DC"/>
    <w:rsid w:val="001801E8"/>
    <w:rsid w:val="0018020F"/>
    <w:rsid w:val="0018177F"/>
    <w:rsid w:val="00181AA0"/>
    <w:rsid w:val="00182872"/>
    <w:rsid w:val="00182F3A"/>
    <w:rsid w:val="00183D5E"/>
    <w:rsid w:val="0018461D"/>
    <w:rsid w:val="0018508C"/>
    <w:rsid w:val="0018576B"/>
    <w:rsid w:val="00186009"/>
    <w:rsid w:val="001870E3"/>
    <w:rsid w:val="0019023A"/>
    <w:rsid w:val="001902D8"/>
    <w:rsid w:val="001A0765"/>
    <w:rsid w:val="001A1C02"/>
    <w:rsid w:val="001A23D2"/>
    <w:rsid w:val="001A3417"/>
    <w:rsid w:val="001A5624"/>
    <w:rsid w:val="001A6159"/>
    <w:rsid w:val="001B0382"/>
    <w:rsid w:val="001B15EC"/>
    <w:rsid w:val="001B5203"/>
    <w:rsid w:val="001B71F5"/>
    <w:rsid w:val="001C11EA"/>
    <w:rsid w:val="001C7CD9"/>
    <w:rsid w:val="001D015E"/>
    <w:rsid w:val="001D060C"/>
    <w:rsid w:val="001D193E"/>
    <w:rsid w:val="001E0619"/>
    <w:rsid w:val="001E0861"/>
    <w:rsid w:val="001E2A17"/>
    <w:rsid w:val="001E548D"/>
    <w:rsid w:val="001E5BB4"/>
    <w:rsid w:val="001F053C"/>
    <w:rsid w:val="001F2B9E"/>
    <w:rsid w:val="001F61DE"/>
    <w:rsid w:val="001F7236"/>
    <w:rsid w:val="001F7F46"/>
    <w:rsid w:val="001F7FBC"/>
    <w:rsid w:val="00200718"/>
    <w:rsid w:val="00205C1E"/>
    <w:rsid w:val="00207D37"/>
    <w:rsid w:val="0021153E"/>
    <w:rsid w:val="002124F8"/>
    <w:rsid w:val="002134C7"/>
    <w:rsid w:val="00213F42"/>
    <w:rsid w:val="00215B5B"/>
    <w:rsid w:val="00216D65"/>
    <w:rsid w:val="0021712B"/>
    <w:rsid w:val="0021783A"/>
    <w:rsid w:val="002210CE"/>
    <w:rsid w:val="002236D8"/>
    <w:rsid w:val="00224517"/>
    <w:rsid w:val="0022563B"/>
    <w:rsid w:val="002301B6"/>
    <w:rsid w:val="002309A1"/>
    <w:rsid w:val="002315D9"/>
    <w:rsid w:val="0023520E"/>
    <w:rsid w:val="00235329"/>
    <w:rsid w:val="002373F8"/>
    <w:rsid w:val="00240836"/>
    <w:rsid w:val="00240897"/>
    <w:rsid w:val="002449FC"/>
    <w:rsid w:val="00245840"/>
    <w:rsid w:val="00247C7A"/>
    <w:rsid w:val="00252398"/>
    <w:rsid w:val="0026072D"/>
    <w:rsid w:val="00264468"/>
    <w:rsid w:val="00264ABB"/>
    <w:rsid w:val="0026586D"/>
    <w:rsid w:val="0026674B"/>
    <w:rsid w:val="00267FFD"/>
    <w:rsid w:val="00277858"/>
    <w:rsid w:val="00285E94"/>
    <w:rsid w:val="00287D05"/>
    <w:rsid w:val="00294E66"/>
    <w:rsid w:val="00297100"/>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090F"/>
    <w:rsid w:val="002F3578"/>
    <w:rsid w:val="002F37C8"/>
    <w:rsid w:val="002F39CA"/>
    <w:rsid w:val="003002C4"/>
    <w:rsid w:val="003013B1"/>
    <w:rsid w:val="0030150D"/>
    <w:rsid w:val="0030374B"/>
    <w:rsid w:val="00314153"/>
    <w:rsid w:val="00314B98"/>
    <w:rsid w:val="00314D78"/>
    <w:rsid w:val="00316B60"/>
    <w:rsid w:val="00316C21"/>
    <w:rsid w:val="00317E0F"/>
    <w:rsid w:val="0032406F"/>
    <w:rsid w:val="0032445F"/>
    <w:rsid w:val="003244AF"/>
    <w:rsid w:val="00326198"/>
    <w:rsid w:val="003324A5"/>
    <w:rsid w:val="00333D1A"/>
    <w:rsid w:val="003341F1"/>
    <w:rsid w:val="003353E9"/>
    <w:rsid w:val="00341AFD"/>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1F9A"/>
    <w:rsid w:val="0037411B"/>
    <w:rsid w:val="00376393"/>
    <w:rsid w:val="00387381"/>
    <w:rsid w:val="003878E3"/>
    <w:rsid w:val="00395EFF"/>
    <w:rsid w:val="003A2B34"/>
    <w:rsid w:val="003A6203"/>
    <w:rsid w:val="003B1457"/>
    <w:rsid w:val="003B263B"/>
    <w:rsid w:val="003B471F"/>
    <w:rsid w:val="003B5FFC"/>
    <w:rsid w:val="003B6431"/>
    <w:rsid w:val="003B7ED7"/>
    <w:rsid w:val="003C775C"/>
    <w:rsid w:val="003D15AC"/>
    <w:rsid w:val="003D2D25"/>
    <w:rsid w:val="003E174B"/>
    <w:rsid w:val="003E289A"/>
    <w:rsid w:val="003E5D10"/>
    <w:rsid w:val="003E5E5A"/>
    <w:rsid w:val="003E5E91"/>
    <w:rsid w:val="003E6DCC"/>
    <w:rsid w:val="003F003B"/>
    <w:rsid w:val="003F0150"/>
    <w:rsid w:val="003F21B2"/>
    <w:rsid w:val="003F22F5"/>
    <w:rsid w:val="003F375A"/>
    <w:rsid w:val="003F426C"/>
    <w:rsid w:val="003F7E00"/>
    <w:rsid w:val="004014E3"/>
    <w:rsid w:val="0040257C"/>
    <w:rsid w:val="00403DFD"/>
    <w:rsid w:val="00403FCC"/>
    <w:rsid w:val="00404A8A"/>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6276"/>
    <w:rsid w:val="0044735C"/>
    <w:rsid w:val="00447A4C"/>
    <w:rsid w:val="00456C86"/>
    <w:rsid w:val="00460114"/>
    <w:rsid w:val="00460870"/>
    <w:rsid w:val="00462408"/>
    <w:rsid w:val="00462C04"/>
    <w:rsid w:val="00462DC3"/>
    <w:rsid w:val="00463275"/>
    <w:rsid w:val="004652CC"/>
    <w:rsid w:val="00470E4F"/>
    <w:rsid w:val="00474C27"/>
    <w:rsid w:val="0047576D"/>
    <w:rsid w:val="0048181E"/>
    <w:rsid w:val="00482CC3"/>
    <w:rsid w:val="004831D3"/>
    <w:rsid w:val="00483418"/>
    <w:rsid w:val="00484A97"/>
    <w:rsid w:val="0049594A"/>
    <w:rsid w:val="00495AE1"/>
    <w:rsid w:val="0049665A"/>
    <w:rsid w:val="004977F8"/>
    <w:rsid w:val="004A027A"/>
    <w:rsid w:val="004A0768"/>
    <w:rsid w:val="004A0D0B"/>
    <w:rsid w:val="004A327A"/>
    <w:rsid w:val="004A50E0"/>
    <w:rsid w:val="004B285B"/>
    <w:rsid w:val="004B3494"/>
    <w:rsid w:val="004C14B3"/>
    <w:rsid w:val="004C1786"/>
    <w:rsid w:val="004C3D4E"/>
    <w:rsid w:val="004C4903"/>
    <w:rsid w:val="004C50FD"/>
    <w:rsid w:val="004C5C78"/>
    <w:rsid w:val="004C6561"/>
    <w:rsid w:val="004D00FF"/>
    <w:rsid w:val="004D066D"/>
    <w:rsid w:val="004D2852"/>
    <w:rsid w:val="004D7EC2"/>
    <w:rsid w:val="004E244B"/>
    <w:rsid w:val="004F1C97"/>
    <w:rsid w:val="004F2323"/>
    <w:rsid w:val="004F4A08"/>
    <w:rsid w:val="00500792"/>
    <w:rsid w:val="005008EC"/>
    <w:rsid w:val="00500A17"/>
    <w:rsid w:val="00505703"/>
    <w:rsid w:val="00511C9D"/>
    <w:rsid w:val="00513E2B"/>
    <w:rsid w:val="00514982"/>
    <w:rsid w:val="005205B8"/>
    <w:rsid w:val="00521B45"/>
    <w:rsid w:val="00524A14"/>
    <w:rsid w:val="005277E7"/>
    <w:rsid w:val="00531475"/>
    <w:rsid w:val="00531752"/>
    <w:rsid w:val="005433C7"/>
    <w:rsid w:val="0054704A"/>
    <w:rsid w:val="00553A02"/>
    <w:rsid w:val="00555240"/>
    <w:rsid w:val="00555902"/>
    <w:rsid w:val="00555C84"/>
    <w:rsid w:val="0056004A"/>
    <w:rsid w:val="0056129F"/>
    <w:rsid w:val="005619DA"/>
    <w:rsid w:val="005655C9"/>
    <w:rsid w:val="00577AF8"/>
    <w:rsid w:val="00580230"/>
    <w:rsid w:val="00583994"/>
    <w:rsid w:val="0058662F"/>
    <w:rsid w:val="005871AA"/>
    <w:rsid w:val="005951EE"/>
    <w:rsid w:val="005965C9"/>
    <w:rsid w:val="00596729"/>
    <w:rsid w:val="005A2F1B"/>
    <w:rsid w:val="005A50DE"/>
    <w:rsid w:val="005A7842"/>
    <w:rsid w:val="005A7C02"/>
    <w:rsid w:val="005B2A03"/>
    <w:rsid w:val="005B3180"/>
    <w:rsid w:val="005B69BA"/>
    <w:rsid w:val="005B6AEB"/>
    <w:rsid w:val="005C1213"/>
    <w:rsid w:val="005C4771"/>
    <w:rsid w:val="005C545A"/>
    <w:rsid w:val="005C5D2A"/>
    <w:rsid w:val="005D175E"/>
    <w:rsid w:val="005D4220"/>
    <w:rsid w:val="005D4AFC"/>
    <w:rsid w:val="005D5C48"/>
    <w:rsid w:val="005D6C53"/>
    <w:rsid w:val="005D6C99"/>
    <w:rsid w:val="005E07EE"/>
    <w:rsid w:val="005E2788"/>
    <w:rsid w:val="005E3D4E"/>
    <w:rsid w:val="005E473F"/>
    <w:rsid w:val="005E6FF2"/>
    <w:rsid w:val="005F05E4"/>
    <w:rsid w:val="005F1A39"/>
    <w:rsid w:val="005F715E"/>
    <w:rsid w:val="005F7246"/>
    <w:rsid w:val="0060037E"/>
    <w:rsid w:val="00602FBA"/>
    <w:rsid w:val="006046AE"/>
    <w:rsid w:val="006053A8"/>
    <w:rsid w:val="006054C4"/>
    <w:rsid w:val="00605790"/>
    <w:rsid w:val="006148F2"/>
    <w:rsid w:val="00614A68"/>
    <w:rsid w:val="00620877"/>
    <w:rsid w:val="0063030B"/>
    <w:rsid w:val="0063200E"/>
    <w:rsid w:val="006356F5"/>
    <w:rsid w:val="00637F9C"/>
    <w:rsid w:val="00645F45"/>
    <w:rsid w:val="00651025"/>
    <w:rsid w:val="00653729"/>
    <w:rsid w:val="00656B5D"/>
    <w:rsid w:val="00657A25"/>
    <w:rsid w:val="00662BC3"/>
    <w:rsid w:val="00664CE9"/>
    <w:rsid w:val="00665627"/>
    <w:rsid w:val="00665FCD"/>
    <w:rsid w:val="0066702C"/>
    <w:rsid w:val="006764CE"/>
    <w:rsid w:val="006776EF"/>
    <w:rsid w:val="00682133"/>
    <w:rsid w:val="00685617"/>
    <w:rsid w:val="00691D31"/>
    <w:rsid w:val="00693878"/>
    <w:rsid w:val="00693BE1"/>
    <w:rsid w:val="00697B33"/>
    <w:rsid w:val="006A24A6"/>
    <w:rsid w:val="006A4F86"/>
    <w:rsid w:val="006A630A"/>
    <w:rsid w:val="006B2063"/>
    <w:rsid w:val="006B3E00"/>
    <w:rsid w:val="006B5ADD"/>
    <w:rsid w:val="006C023D"/>
    <w:rsid w:val="006C3FB6"/>
    <w:rsid w:val="006C400B"/>
    <w:rsid w:val="006D0C47"/>
    <w:rsid w:val="006D21E1"/>
    <w:rsid w:val="006D2BCA"/>
    <w:rsid w:val="006D7274"/>
    <w:rsid w:val="006D7458"/>
    <w:rsid w:val="006F0A87"/>
    <w:rsid w:val="006F55D6"/>
    <w:rsid w:val="006F77E7"/>
    <w:rsid w:val="00701A77"/>
    <w:rsid w:val="00702891"/>
    <w:rsid w:val="007110FF"/>
    <w:rsid w:val="007135A8"/>
    <w:rsid w:val="00724065"/>
    <w:rsid w:val="00724A75"/>
    <w:rsid w:val="00726DA6"/>
    <w:rsid w:val="0072754B"/>
    <w:rsid w:val="007321AB"/>
    <w:rsid w:val="00734807"/>
    <w:rsid w:val="007364D6"/>
    <w:rsid w:val="0073685D"/>
    <w:rsid w:val="007404B1"/>
    <w:rsid w:val="00746618"/>
    <w:rsid w:val="00751572"/>
    <w:rsid w:val="00752D75"/>
    <w:rsid w:val="00753E0F"/>
    <w:rsid w:val="00755A58"/>
    <w:rsid w:val="00755AA0"/>
    <w:rsid w:val="00757ADC"/>
    <w:rsid w:val="00762B5F"/>
    <w:rsid w:val="0076327F"/>
    <w:rsid w:val="007638A8"/>
    <w:rsid w:val="00763927"/>
    <w:rsid w:val="00764292"/>
    <w:rsid w:val="00764AB7"/>
    <w:rsid w:val="00766B20"/>
    <w:rsid w:val="007708DC"/>
    <w:rsid w:val="00772344"/>
    <w:rsid w:val="007723E0"/>
    <w:rsid w:val="00773A97"/>
    <w:rsid w:val="007740B0"/>
    <w:rsid w:val="007741DC"/>
    <w:rsid w:val="00791250"/>
    <w:rsid w:val="00795804"/>
    <w:rsid w:val="00795E9B"/>
    <w:rsid w:val="0079737D"/>
    <w:rsid w:val="007A0895"/>
    <w:rsid w:val="007A4105"/>
    <w:rsid w:val="007B5450"/>
    <w:rsid w:val="007B66B8"/>
    <w:rsid w:val="007B680B"/>
    <w:rsid w:val="007B7B0D"/>
    <w:rsid w:val="007B7BBC"/>
    <w:rsid w:val="007B7EA6"/>
    <w:rsid w:val="007C0D8F"/>
    <w:rsid w:val="007C71ED"/>
    <w:rsid w:val="007D054B"/>
    <w:rsid w:val="007D1EBB"/>
    <w:rsid w:val="007D1F6C"/>
    <w:rsid w:val="007D2DCB"/>
    <w:rsid w:val="007D344A"/>
    <w:rsid w:val="007D793C"/>
    <w:rsid w:val="007E2E42"/>
    <w:rsid w:val="007E350E"/>
    <w:rsid w:val="007E3D08"/>
    <w:rsid w:val="007E6348"/>
    <w:rsid w:val="007E6AB3"/>
    <w:rsid w:val="007E6BEE"/>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3754"/>
    <w:rsid w:val="00836840"/>
    <w:rsid w:val="00836EDD"/>
    <w:rsid w:val="008377F1"/>
    <w:rsid w:val="008457C2"/>
    <w:rsid w:val="00850676"/>
    <w:rsid w:val="0085104D"/>
    <w:rsid w:val="00852B1F"/>
    <w:rsid w:val="00854337"/>
    <w:rsid w:val="0085442D"/>
    <w:rsid w:val="00854FA5"/>
    <w:rsid w:val="00861F8A"/>
    <w:rsid w:val="0086623B"/>
    <w:rsid w:val="008740C7"/>
    <w:rsid w:val="00875A14"/>
    <w:rsid w:val="00877276"/>
    <w:rsid w:val="00881501"/>
    <w:rsid w:val="0088273C"/>
    <w:rsid w:val="00884152"/>
    <w:rsid w:val="008911F2"/>
    <w:rsid w:val="00893741"/>
    <w:rsid w:val="00894BCD"/>
    <w:rsid w:val="008A3A09"/>
    <w:rsid w:val="008A51D2"/>
    <w:rsid w:val="008A5C34"/>
    <w:rsid w:val="008A5E96"/>
    <w:rsid w:val="008B12D7"/>
    <w:rsid w:val="008B2422"/>
    <w:rsid w:val="008B2A5F"/>
    <w:rsid w:val="008B6794"/>
    <w:rsid w:val="008C3FB9"/>
    <w:rsid w:val="008C42A9"/>
    <w:rsid w:val="008C6F37"/>
    <w:rsid w:val="008D0CFC"/>
    <w:rsid w:val="008D7AC0"/>
    <w:rsid w:val="008E0ED4"/>
    <w:rsid w:val="008E2440"/>
    <w:rsid w:val="008E4F5D"/>
    <w:rsid w:val="008E796B"/>
    <w:rsid w:val="008F0A07"/>
    <w:rsid w:val="008F0B95"/>
    <w:rsid w:val="008F12EA"/>
    <w:rsid w:val="008F22E2"/>
    <w:rsid w:val="008F62E7"/>
    <w:rsid w:val="008F6AC2"/>
    <w:rsid w:val="008F7945"/>
    <w:rsid w:val="009002F8"/>
    <w:rsid w:val="009019A2"/>
    <w:rsid w:val="00901FFD"/>
    <w:rsid w:val="00903887"/>
    <w:rsid w:val="00905500"/>
    <w:rsid w:val="00905B58"/>
    <w:rsid w:val="00907041"/>
    <w:rsid w:val="00907AE9"/>
    <w:rsid w:val="009111AB"/>
    <w:rsid w:val="009140B9"/>
    <w:rsid w:val="00914157"/>
    <w:rsid w:val="00914181"/>
    <w:rsid w:val="00915748"/>
    <w:rsid w:val="0091679C"/>
    <w:rsid w:val="00917AFE"/>
    <w:rsid w:val="00922111"/>
    <w:rsid w:val="009230D6"/>
    <w:rsid w:val="00923E23"/>
    <w:rsid w:val="009248CC"/>
    <w:rsid w:val="00926742"/>
    <w:rsid w:val="009302A2"/>
    <w:rsid w:val="00930FDA"/>
    <w:rsid w:val="00931347"/>
    <w:rsid w:val="009362CF"/>
    <w:rsid w:val="009449B8"/>
    <w:rsid w:val="00946F75"/>
    <w:rsid w:val="00951E3A"/>
    <w:rsid w:val="00951FE1"/>
    <w:rsid w:val="00952B5B"/>
    <w:rsid w:val="00955E6B"/>
    <w:rsid w:val="00962036"/>
    <w:rsid w:val="00963862"/>
    <w:rsid w:val="00965079"/>
    <w:rsid w:val="00971732"/>
    <w:rsid w:val="00972649"/>
    <w:rsid w:val="00972803"/>
    <w:rsid w:val="00972F04"/>
    <w:rsid w:val="00973A16"/>
    <w:rsid w:val="00977881"/>
    <w:rsid w:val="0098031E"/>
    <w:rsid w:val="00980B41"/>
    <w:rsid w:val="00981D63"/>
    <w:rsid w:val="009827A3"/>
    <w:rsid w:val="009843B1"/>
    <w:rsid w:val="009848A1"/>
    <w:rsid w:val="00986C92"/>
    <w:rsid w:val="00987F87"/>
    <w:rsid w:val="00990A29"/>
    <w:rsid w:val="009925AE"/>
    <w:rsid w:val="00993A55"/>
    <w:rsid w:val="009A0E3A"/>
    <w:rsid w:val="009A41DF"/>
    <w:rsid w:val="009A549E"/>
    <w:rsid w:val="009A5CAB"/>
    <w:rsid w:val="009A5D04"/>
    <w:rsid w:val="009A5E25"/>
    <w:rsid w:val="009A64F9"/>
    <w:rsid w:val="009B036E"/>
    <w:rsid w:val="009B224E"/>
    <w:rsid w:val="009B2A46"/>
    <w:rsid w:val="009B2B2B"/>
    <w:rsid w:val="009B2C68"/>
    <w:rsid w:val="009B3399"/>
    <w:rsid w:val="009B5431"/>
    <w:rsid w:val="009B6AA1"/>
    <w:rsid w:val="009B7586"/>
    <w:rsid w:val="009B7720"/>
    <w:rsid w:val="009C0E89"/>
    <w:rsid w:val="009C7746"/>
    <w:rsid w:val="009C7AE2"/>
    <w:rsid w:val="009D096F"/>
    <w:rsid w:val="009D147F"/>
    <w:rsid w:val="009D210A"/>
    <w:rsid w:val="009D3A3B"/>
    <w:rsid w:val="009D7E5C"/>
    <w:rsid w:val="009E0618"/>
    <w:rsid w:val="009E0BAF"/>
    <w:rsid w:val="009E16C5"/>
    <w:rsid w:val="009E2527"/>
    <w:rsid w:val="009E4F47"/>
    <w:rsid w:val="009E5C21"/>
    <w:rsid w:val="009E7E3A"/>
    <w:rsid w:val="009F0F72"/>
    <w:rsid w:val="009F43DB"/>
    <w:rsid w:val="009F609F"/>
    <w:rsid w:val="00A032DD"/>
    <w:rsid w:val="00A03370"/>
    <w:rsid w:val="00A05570"/>
    <w:rsid w:val="00A05AFA"/>
    <w:rsid w:val="00A13B67"/>
    <w:rsid w:val="00A16DA7"/>
    <w:rsid w:val="00A17480"/>
    <w:rsid w:val="00A205D1"/>
    <w:rsid w:val="00A23178"/>
    <w:rsid w:val="00A2750B"/>
    <w:rsid w:val="00A27632"/>
    <w:rsid w:val="00A301AC"/>
    <w:rsid w:val="00A30CE3"/>
    <w:rsid w:val="00A31616"/>
    <w:rsid w:val="00A31913"/>
    <w:rsid w:val="00A328A7"/>
    <w:rsid w:val="00A3317F"/>
    <w:rsid w:val="00A34F13"/>
    <w:rsid w:val="00A35413"/>
    <w:rsid w:val="00A40890"/>
    <w:rsid w:val="00A443A1"/>
    <w:rsid w:val="00A44D27"/>
    <w:rsid w:val="00A4654E"/>
    <w:rsid w:val="00A51104"/>
    <w:rsid w:val="00A5412A"/>
    <w:rsid w:val="00A54C34"/>
    <w:rsid w:val="00A62864"/>
    <w:rsid w:val="00A63176"/>
    <w:rsid w:val="00A64A60"/>
    <w:rsid w:val="00A66BB9"/>
    <w:rsid w:val="00A67FEB"/>
    <w:rsid w:val="00A700CF"/>
    <w:rsid w:val="00A715BF"/>
    <w:rsid w:val="00A71D1D"/>
    <w:rsid w:val="00A728E1"/>
    <w:rsid w:val="00A73C48"/>
    <w:rsid w:val="00A753CE"/>
    <w:rsid w:val="00A80527"/>
    <w:rsid w:val="00A81277"/>
    <w:rsid w:val="00A82D80"/>
    <w:rsid w:val="00A83771"/>
    <w:rsid w:val="00A83E8E"/>
    <w:rsid w:val="00A87341"/>
    <w:rsid w:val="00A91499"/>
    <w:rsid w:val="00A92031"/>
    <w:rsid w:val="00A926A6"/>
    <w:rsid w:val="00A95426"/>
    <w:rsid w:val="00A96A6A"/>
    <w:rsid w:val="00A97874"/>
    <w:rsid w:val="00AA7264"/>
    <w:rsid w:val="00AA767D"/>
    <w:rsid w:val="00AB1155"/>
    <w:rsid w:val="00AB34FD"/>
    <w:rsid w:val="00AB51C9"/>
    <w:rsid w:val="00AB72BE"/>
    <w:rsid w:val="00AC1DAA"/>
    <w:rsid w:val="00AC3EB6"/>
    <w:rsid w:val="00AC48A8"/>
    <w:rsid w:val="00AC4B47"/>
    <w:rsid w:val="00AC554A"/>
    <w:rsid w:val="00AC63CB"/>
    <w:rsid w:val="00AD173E"/>
    <w:rsid w:val="00AD2856"/>
    <w:rsid w:val="00AD3DC2"/>
    <w:rsid w:val="00AD49C8"/>
    <w:rsid w:val="00AE0F08"/>
    <w:rsid w:val="00AE5B2F"/>
    <w:rsid w:val="00AF5538"/>
    <w:rsid w:val="00AF556F"/>
    <w:rsid w:val="00B05E4A"/>
    <w:rsid w:val="00B0651A"/>
    <w:rsid w:val="00B06EE7"/>
    <w:rsid w:val="00B10931"/>
    <w:rsid w:val="00B11763"/>
    <w:rsid w:val="00B117CB"/>
    <w:rsid w:val="00B11D7B"/>
    <w:rsid w:val="00B12F36"/>
    <w:rsid w:val="00B17E98"/>
    <w:rsid w:val="00B222BC"/>
    <w:rsid w:val="00B256B2"/>
    <w:rsid w:val="00B4092C"/>
    <w:rsid w:val="00B449AF"/>
    <w:rsid w:val="00B47CFC"/>
    <w:rsid w:val="00B47FB5"/>
    <w:rsid w:val="00B53736"/>
    <w:rsid w:val="00B53CE9"/>
    <w:rsid w:val="00B5616B"/>
    <w:rsid w:val="00B56FCC"/>
    <w:rsid w:val="00B7199B"/>
    <w:rsid w:val="00B7210C"/>
    <w:rsid w:val="00B72F2C"/>
    <w:rsid w:val="00B83398"/>
    <w:rsid w:val="00B8356D"/>
    <w:rsid w:val="00B83CE7"/>
    <w:rsid w:val="00B863E8"/>
    <w:rsid w:val="00B90879"/>
    <w:rsid w:val="00B934CF"/>
    <w:rsid w:val="00B934FA"/>
    <w:rsid w:val="00B93ED4"/>
    <w:rsid w:val="00BA01AC"/>
    <w:rsid w:val="00BA197D"/>
    <w:rsid w:val="00BA4EAC"/>
    <w:rsid w:val="00BA572C"/>
    <w:rsid w:val="00BA59BD"/>
    <w:rsid w:val="00BB3B42"/>
    <w:rsid w:val="00BB75BB"/>
    <w:rsid w:val="00BB7F1D"/>
    <w:rsid w:val="00BC0093"/>
    <w:rsid w:val="00BC56E2"/>
    <w:rsid w:val="00BC750B"/>
    <w:rsid w:val="00BC7C83"/>
    <w:rsid w:val="00BD08F0"/>
    <w:rsid w:val="00BD3835"/>
    <w:rsid w:val="00BD72A8"/>
    <w:rsid w:val="00BE1294"/>
    <w:rsid w:val="00BE1B86"/>
    <w:rsid w:val="00BE318F"/>
    <w:rsid w:val="00BE404E"/>
    <w:rsid w:val="00BE440A"/>
    <w:rsid w:val="00BF0452"/>
    <w:rsid w:val="00BF2846"/>
    <w:rsid w:val="00BF4032"/>
    <w:rsid w:val="00BF5BC4"/>
    <w:rsid w:val="00C0205C"/>
    <w:rsid w:val="00C02F45"/>
    <w:rsid w:val="00C044C3"/>
    <w:rsid w:val="00C05A67"/>
    <w:rsid w:val="00C07530"/>
    <w:rsid w:val="00C104B1"/>
    <w:rsid w:val="00C120CD"/>
    <w:rsid w:val="00C137F1"/>
    <w:rsid w:val="00C14F3B"/>
    <w:rsid w:val="00C1570F"/>
    <w:rsid w:val="00C202BD"/>
    <w:rsid w:val="00C230FB"/>
    <w:rsid w:val="00C2449F"/>
    <w:rsid w:val="00C31308"/>
    <w:rsid w:val="00C406BB"/>
    <w:rsid w:val="00C411F6"/>
    <w:rsid w:val="00C44CC2"/>
    <w:rsid w:val="00C456EC"/>
    <w:rsid w:val="00C463CB"/>
    <w:rsid w:val="00C50FF0"/>
    <w:rsid w:val="00C6297B"/>
    <w:rsid w:val="00C62BF6"/>
    <w:rsid w:val="00C66D8F"/>
    <w:rsid w:val="00C673B8"/>
    <w:rsid w:val="00C71484"/>
    <w:rsid w:val="00C76224"/>
    <w:rsid w:val="00C76568"/>
    <w:rsid w:val="00C87562"/>
    <w:rsid w:val="00C90EDA"/>
    <w:rsid w:val="00C91DB8"/>
    <w:rsid w:val="00C932DA"/>
    <w:rsid w:val="00C94634"/>
    <w:rsid w:val="00CA0D10"/>
    <w:rsid w:val="00CA7AC3"/>
    <w:rsid w:val="00CB1027"/>
    <w:rsid w:val="00CB3B98"/>
    <w:rsid w:val="00CB3E87"/>
    <w:rsid w:val="00CB538A"/>
    <w:rsid w:val="00CB5CB5"/>
    <w:rsid w:val="00CB6A45"/>
    <w:rsid w:val="00CC1AC6"/>
    <w:rsid w:val="00CC513A"/>
    <w:rsid w:val="00CC51DE"/>
    <w:rsid w:val="00CD463B"/>
    <w:rsid w:val="00CD7DBC"/>
    <w:rsid w:val="00CE2F66"/>
    <w:rsid w:val="00CE5B34"/>
    <w:rsid w:val="00CE73F0"/>
    <w:rsid w:val="00CF21D3"/>
    <w:rsid w:val="00CF2A7E"/>
    <w:rsid w:val="00CF3E36"/>
    <w:rsid w:val="00CF6706"/>
    <w:rsid w:val="00CF6AFB"/>
    <w:rsid w:val="00CF766A"/>
    <w:rsid w:val="00D00368"/>
    <w:rsid w:val="00D03115"/>
    <w:rsid w:val="00D10DD7"/>
    <w:rsid w:val="00D11582"/>
    <w:rsid w:val="00D13552"/>
    <w:rsid w:val="00D13EAF"/>
    <w:rsid w:val="00D14E99"/>
    <w:rsid w:val="00D15F39"/>
    <w:rsid w:val="00D16F4F"/>
    <w:rsid w:val="00D17033"/>
    <w:rsid w:val="00D17773"/>
    <w:rsid w:val="00D20CB3"/>
    <w:rsid w:val="00D228BB"/>
    <w:rsid w:val="00D22C9C"/>
    <w:rsid w:val="00D244C0"/>
    <w:rsid w:val="00D27CB8"/>
    <w:rsid w:val="00D313E4"/>
    <w:rsid w:val="00D3185F"/>
    <w:rsid w:val="00D3297E"/>
    <w:rsid w:val="00D35386"/>
    <w:rsid w:val="00D43891"/>
    <w:rsid w:val="00D43A52"/>
    <w:rsid w:val="00D4442B"/>
    <w:rsid w:val="00D449B2"/>
    <w:rsid w:val="00D45B89"/>
    <w:rsid w:val="00D469D4"/>
    <w:rsid w:val="00D473F1"/>
    <w:rsid w:val="00D62DA7"/>
    <w:rsid w:val="00D635C0"/>
    <w:rsid w:val="00D637A5"/>
    <w:rsid w:val="00D67089"/>
    <w:rsid w:val="00D7007A"/>
    <w:rsid w:val="00D707FE"/>
    <w:rsid w:val="00D72439"/>
    <w:rsid w:val="00D76DB7"/>
    <w:rsid w:val="00D77EB0"/>
    <w:rsid w:val="00D82B75"/>
    <w:rsid w:val="00D830D9"/>
    <w:rsid w:val="00D851C4"/>
    <w:rsid w:val="00D90EB7"/>
    <w:rsid w:val="00D96285"/>
    <w:rsid w:val="00D97072"/>
    <w:rsid w:val="00DA3943"/>
    <w:rsid w:val="00DB0A95"/>
    <w:rsid w:val="00DB0C46"/>
    <w:rsid w:val="00DB0E5A"/>
    <w:rsid w:val="00DB1D3D"/>
    <w:rsid w:val="00DB3896"/>
    <w:rsid w:val="00DB430E"/>
    <w:rsid w:val="00DB7036"/>
    <w:rsid w:val="00DB7614"/>
    <w:rsid w:val="00DB7647"/>
    <w:rsid w:val="00DC14C3"/>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07F9B"/>
    <w:rsid w:val="00E11334"/>
    <w:rsid w:val="00E14267"/>
    <w:rsid w:val="00E16A88"/>
    <w:rsid w:val="00E21511"/>
    <w:rsid w:val="00E23988"/>
    <w:rsid w:val="00E24303"/>
    <w:rsid w:val="00E250DF"/>
    <w:rsid w:val="00E262ED"/>
    <w:rsid w:val="00E273FF"/>
    <w:rsid w:val="00E307D8"/>
    <w:rsid w:val="00E4144B"/>
    <w:rsid w:val="00E431E8"/>
    <w:rsid w:val="00E459DF"/>
    <w:rsid w:val="00E52162"/>
    <w:rsid w:val="00E5262D"/>
    <w:rsid w:val="00E54DBD"/>
    <w:rsid w:val="00E568AC"/>
    <w:rsid w:val="00E577BD"/>
    <w:rsid w:val="00E57CAA"/>
    <w:rsid w:val="00E61BF9"/>
    <w:rsid w:val="00E646DE"/>
    <w:rsid w:val="00E6674B"/>
    <w:rsid w:val="00E71BCA"/>
    <w:rsid w:val="00E7314E"/>
    <w:rsid w:val="00E7675B"/>
    <w:rsid w:val="00E77388"/>
    <w:rsid w:val="00E8041F"/>
    <w:rsid w:val="00E81624"/>
    <w:rsid w:val="00E8346E"/>
    <w:rsid w:val="00E83CA8"/>
    <w:rsid w:val="00E851C1"/>
    <w:rsid w:val="00E85670"/>
    <w:rsid w:val="00E92DE3"/>
    <w:rsid w:val="00E932E3"/>
    <w:rsid w:val="00EA032A"/>
    <w:rsid w:val="00EA1417"/>
    <w:rsid w:val="00EA1A6F"/>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590D"/>
    <w:rsid w:val="00EB618E"/>
    <w:rsid w:val="00EB7F8E"/>
    <w:rsid w:val="00EC23A5"/>
    <w:rsid w:val="00EC2F29"/>
    <w:rsid w:val="00EC4A02"/>
    <w:rsid w:val="00ED1EEA"/>
    <w:rsid w:val="00EE1379"/>
    <w:rsid w:val="00EE265E"/>
    <w:rsid w:val="00EE4D9F"/>
    <w:rsid w:val="00EF393D"/>
    <w:rsid w:val="00EF3ABA"/>
    <w:rsid w:val="00EF3C10"/>
    <w:rsid w:val="00EF3E95"/>
    <w:rsid w:val="00EF7552"/>
    <w:rsid w:val="00F001F8"/>
    <w:rsid w:val="00F03A86"/>
    <w:rsid w:val="00F048B4"/>
    <w:rsid w:val="00F06ABD"/>
    <w:rsid w:val="00F12452"/>
    <w:rsid w:val="00F13769"/>
    <w:rsid w:val="00F138F9"/>
    <w:rsid w:val="00F1485D"/>
    <w:rsid w:val="00F20276"/>
    <w:rsid w:val="00F223F7"/>
    <w:rsid w:val="00F224BC"/>
    <w:rsid w:val="00F2454C"/>
    <w:rsid w:val="00F3079B"/>
    <w:rsid w:val="00F31BDB"/>
    <w:rsid w:val="00F350C7"/>
    <w:rsid w:val="00F42EEC"/>
    <w:rsid w:val="00F459D4"/>
    <w:rsid w:val="00F45C3F"/>
    <w:rsid w:val="00F46F9F"/>
    <w:rsid w:val="00F47102"/>
    <w:rsid w:val="00F47408"/>
    <w:rsid w:val="00F47A7F"/>
    <w:rsid w:val="00F50D91"/>
    <w:rsid w:val="00F51FF4"/>
    <w:rsid w:val="00F52A5F"/>
    <w:rsid w:val="00F54F8B"/>
    <w:rsid w:val="00F60ED0"/>
    <w:rsid w:val="00F63D14"/>
    <w:rsid w:val="00F651BE"/>
    <w:rsid w:val="00F675B0"/>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3454"/>
    <w:rsid w:val="00F9792A"/>
    <w:rsid w:val="00FA12CD"/>
    <w:rsid w:val="00FA330E"/>
    <w:rsid w:val="00FA4298"/>
    <w:rsid w:val="00FA5B33"/>
    <w:rsid w:val="00FA7309"/>
    <w:rsid w:val="00FB0A93"/>
    <w:rsid w:val="00FB18F5"/>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F5C5B6"/>
  <w14:discardImageEditingData/>
  <w14:defaultImageDpi w14:val="330"/>
  <w15:chartTrackingRefBased/>
  <w15:docId w15:val="{C4A88716-DAF2-4386-BE97-028682F9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aliases w:val="Bullet copy,Recommendation,List Paragraph1,List Paragraph11,Bullet point,List Paragraph Number,CV text,Dot pt,F5 List Paragraph,FooterText,L,List Paragraph111,List Paragraph2,Medium Grid 1 - Accent 21,NAST Quote,NFP GP Bulleted List,リスト段落"/>
    <w:basedOn w:val="BodyText"/>
    <w:link w:val="ListParagraphChar"/>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tabs>
        <w:tab w:val="clear" w:pos="3600"/>
        <w:tab w:val="num" w:pos="360"/>
      </w:tabs>
      <w:ind w:left="0" w:firstLine="0"/>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customStyle="1" w:styleId="ListParagraphChar">
    <w:name w:val="List Paragraph Char"/>
    <w:aliases w:val="Bullet copy Char,Recommendation Char,List Paragraph1 Char,List Paragraph11 Char,Bullet point Char,List Paragraph Number Char,CV text Char,Dot pt Char,F5 List Paragraph Char,FooterText Char,L Char,List Paragraph111 Char,リスト段落 Char"/>
    <w:basedOn w:val="DefaultParagraphFont"/>
    <w:link w:val="ListParagraph"/>
    <w:uiPriority w:val="99"/>
    <w:locked/>
    <w:rsid w:val="00C91DB8"/>
    <w:rPr>
      <w:kern w:val="21"/>
      <w14:numSpacing w14:val="proportional"/>
    </w:rPr>
  </w:style>
  <w:style w:type="character" w:styleId="CommentReference">
    <w:name w:val="annotation reference"/>
    <w:basedOn w:val="DefaultParagraphFont"/>
    <w:uiPriority w:val="99"/>
    <w:semiHidden/>
    <w:unhideWhenUsed/>
    <w:rsid w:val="001B15EC"/>
    <w:rPr>
      <w:sz w:val="16"/>
      <w:szCs w:val="16"/>
    </w:rPr>
  </w:style>
  <w:style w:type="paragraph" w:customStyle="1" w:styleId="Default">
    <w:name w:val="Default"/>
    <w:rsid w:val="007364D6"/>
    <w:pPr>
      <w:autoSpaceDE w:val="0"/>
      <w:autoSpaceDN w:val="0"/>
      <w:adjustRightInd w:val="0"/>
      <w:spacing w:line="240" w:lineRule="auto"/>
    </w:pPr>
    <w:rPr>
      <w:rFonts w:cs="Fira Sans"/>
      <w:color w:val="000000"/>
      <w:sz w:val="24"/>
      <w:szCs w:val="24"/>
    </w:rPr>
  </w:style>
  <w:style w:type="character" w:customStyle="1" w:styleId="ui-provider">
    <w:name w:val="ui-provider"/>
    <w:basedOn w:val="DefaultParagraphFont"/>
    <w:rsid w:val="00EE4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677000414">
      <w:bodyDiv w:val="1"/>
      <w:marLeft w:val="0"/>
      <w:marRight w:val="0"/>
      <w:marTop w:val="0"/>
      <w:marBottom w:val="0"/>
      <w:divBdr>
        <w:top w:val="none" w:sz="0" w:space="0" w:color="auto"/>
        <w:left w:val="none" w:sz="0" w:space="0" w:color="auto"/>
        <w:bottom w:val="none" w:sz="0" w:space="0" w:color="auto"/>
        <w:right w:val="none" w:sz="0" w:space="0" w:color="auto"/>
      </w:divBdr>
    </w:div>
    <w:div w:id="792019961">
      <w:bodyDiv w:val="1"/>
      <w:marLeft w:val="0"/>
      <w:marRight w:val="0"/>
      <w:marTop w:val="0"/>
      <w:marBottom w:val="0"/>
      <w:divBdr>
        <w:top w:val="none" w:sz="0" w:space="0" w:color="auto"/>
        <w:left w:val="none" w:sz="0" w:space="0" w:color="auto"/>
        <w:bottom w:val="none" w:sz="0" w:space="0" w:color="auto"/>
        <w:right w:val="none" w:sz="0" w:space="0" w:color="auto"/>
      </w:divBdr>
      <w:divsChild>
        <w:div w:id="1039814757">
          <w:marLeft w:val="547"/>
          <w:marRight w:val="0"/>
          <w:marTop w:val="0"/>
          <w:marBottom w:val="0"/>
          <w:divBdr>
            <w:top w:val="none" w:sz="0" w:space="0" w:color="auto"/>
            <w:left w:val="none" w:sz="0" w:space="0" w:color="auto"/>
            <w:bottom w:val="none" w:sz="0" w:space="0" w:color="auto"/>
            <w:right w:val="none" w:sz="0" w:space="0" w:color="auto"/>
          </w:divBdr>
        </w:div>
        <w:div w:id="1617829295">
          <w:marLeft w:val="547"/>
          <w:marRight w:val="0"/>
          <w:marTop w:val="0"/>
          <w:marBottom w:val="0"/>
          <w:divBdr>
            <w:top w:val="none" w:sz="0" w:space="0" w:color="auto"/>
            <w:left w:val="none" w:sz="0" w:space="0" w:color="auto"/>
            <w:bottom w:val="none" w:sz="0" w:space="0" w:color="auto"/>
            <w:right w:val="none" w:sz="0" w:space="0" w:color="auto"/>
          </w:divBdr>
        </w:div>
        <w:div w:id="475995383">
          <w:marLeft w:val="547"/>
          <w:marRight w:val="0"/>
          <w:marTop w:val="0"/>
          <w:marBottom w:val="0"/>
          <w:divBdr>
            <w:top w:val="none" w:sz="0" w:space="0" w:color="auto"/>
            <w:left w:val="none" w:sz="0" w:space="0" w:color="auto"/>
            <w:bottom w:val="none" w:sz="0" w:space="0" w:color="auto"/>
            <w:right w:val="none" w:sz="0" w:space="0" w:color="auto"/>
          </w:divBdr>
        </w:div>
      </w:divsChild>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1875799951">
      <w:bodyDiv w:val="1"/>
      <w:marLeft w:val="0"/>
      <w:marRight w:val="0"/>
      <w:marTop w:val="0"/>
      <w:marBottom w:val="0"/>
      <w:divBdr>
        <w:top w:val="none" w:sz="0" w:space="0" w:color="auto"/>
        <w:left w:val="none" w:sz="0" w:space="0" w:color="auto"/>
        <w:bottom w:val="none" w:sz="0" w:space="0" w:color="auto"/>
        <w:right w:val="none" w:sz="0" w:space="0" w:color="auto"/>
      </w:divBdr>
      <w:divsChild>
        <w:div w:id="1951206871">
          <w:marLeft w:val="547"/>
          <w:marRight w:val="0"/>
          <w:marTop w:val="0"/>
          <w:marBottom w:val="0"/>
          <w:divBdr>
            <w:top w:val="none" w:sz="0" w:space="0" w:color="auto"/>
            <w:left w:val="none" w:sz="0" w:space="0" w:color="auto"/>
            <w:bottom w:val="none" w:sz="0" w:space="0" w:color="auto"/>
            <w:right w:val="none" w:sz="0" w:space="0" w:color="auto"/>
          </w:divBdr>
        </w:div>
      </w:divsChild>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s://www.health.qld.gov.au/__data/assets/pdf_file/0029/1064639/department-of-health-strategic-plan-2021-2025.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MAPAU-MWP@health.qld.gov.au" TargetMode="Externa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s://www.health.gov.au/our-work/national-medical-workforce-strategy-2021-2031" TargetMode="External"/><Relationship Id="rId25"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mailto:MAPAU-MWP@health.qld.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qld.gov.au/system-governance/strategic-direction/plans/medical-practitioner-workforce-plan-for-queensland"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image" Target="media/image1.jpg"/><Relationship Id="rId19" Type="http://schemas.openxmlformats.org/officeDocument/2006/relationships/hyperlink" Target="https://www.health.qld.gov.au/system-governance/strategic-direction/plans/healthq32/queensland-healths-vision-for-the-syste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2022%20Word%20Template%20(A4,%20Portrait).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4E28E-18DE-4A51-A2B4-8255EA076FB7}" type="doc">
      <dgm:prSet loTypeId="urn:microsoft.com/office/officeart/2005/8/layout/process4" loCatId="process" qsTypeId="urn:microsoft.com/office/officeart/2005/8/quickstyle/simple2" qsCatId="simple" csTypeId="urn:microsoft.com/office/officeart/2005/8/colors/accent1_2" csCatId="accent1" phldr="1"/>
      <dgm:spPr/>
    </dgm:pt>
    <dgm:pt modelId="{B8A444B8-2B5E-445B-96A5-D4D337712B5A}">
      <dgm:prSet phldrT="[Text]" custT="1"/>
      <dgm:spPr>
        <a:xfrm>
          <a:off x="39093" y="3651"/>
          <a:ext cx="5760638" cy="481817"/>
        </a:xfrm>
      </dgm:spPr>
      <dgm:t>
        <a:bodyPr/>
        <a:lstStyle/>
        <a:p>
          <a:pPr>
            <a:buNone/>
          </a:pPr>
          <a:r>
            <a:rPr lang="en-AU" sz="1000" b="1">
              <a:latin typeface="Fira Sans" panose="020B0503050000020004" pitchFamily="34" charset="0"/>
              <a:ea typeface="+mn-ea"/>
              <a:cs typeface="+mn-cs"/>
            </a:rPr>
            <a:t>Call for applications</a:t>
          </a:r>
        </a:p>
      </dgm:t>
    </dgm:pt>
    <dgm:pt modelId="{A56DEB09-39DD-4351-B557-B800FCFB6882}" type="parTrans" cxnId="{8B61DA8A-9BD3-4320-B838-C7B0195CEED3}">
      <dgm:prSet/>
      <dgm:spPr/>
      <dgm:t>
        <a:bodyPr/>
        <a:lstStyle/>
        <a:p>
          <a:endParaRPr lang="en-AU" sz="950"/>
        </a:p>
      </dgm:t>
    </dgm:pt>
    <dgm:pt modelId="{F4AC78BF-4E46-4E66-9B16-A2362DFD9C04}" type="sibTrans" cxnId="{8B61DA8A-9BD3-4320-B838-C7B0195CEED3}">
      <dgm:prSet custT="1"/>
      <dgm:spPr>
        <a:xfrm rot="5400000">
          <a:off x="2811708" y="499828"/>
          <a:ext cx="215407" cy="258488"/>
        </a:xfrm>
        <a:prstGeom prst="rightArrow">
          <a:avLst>
            <a:gd name="adj1" fmla="val 60000"/>
            <a:gd name="adj2" fmla="val 50000"/>
          </a:avLst>
        </a:prstGeom>
      </dgm:spPr>
      <dgm:t>
        <a:bodyPr/>
        <a:lstStyle/>
        <a:p>
          <a:pPr>
            <a:buNone/>
          </a:pPr>
          <a:endParaRPr lang="en-AU" sz="950">
            <a:solidFill>
              <a:sysClr val="window" lastClr="FFFFFF"/>
            </a:solidFill>
            <a:latin typeface="Calibri" panose="020F0502020204030204"/>
            <a:ea typeface="+mn-ea"/>
            <a:cs typeface="+mn-cs"/>
          </a:endParaRPr>
        </a:p>
      </dgm:t>
    </dgm:pt>
    <dgm:pt modelId="{52A2178F-B2F5-4BB9-AE98-644E5135D866}">
      <dgm:prSet phldrT="[Text]" custT="1"/>
      <dgm:spPr>
        <a:xfrm>
          <a:off x="0" y="772677"/>
          <a:ext cx="5838825" cy="631217"/>
        </a:xfrm>
      </dgm:spPr>
      <dgm:t>
        <a:bodyPr/>
        <a:lstStyle/>
        <a:p>
          <a:pPr>
            <a:buNone/>
          </a:pPr>
          <a:r>
            <a:rPr lang="en-AU" sz="1000" b="1">
              <a:latin typeface="Fira Sans" panose="020B0503050000020004" pitchFamily="34" charset="0"/>
              <a:ea typeface="+mn-ea"/>
              <a:cs typeface="+mn-cs"/>
            </a:rPr>
            <a:t>Submit application</a:t>
          </a:r>
        </a:p>
        <a:p>
          <a:pPr>
            <a:buNone/>
          </a:pPr>
          <a:r>
            <a:rPr lang="en-AU" sz="950" i="1">
              <a:latin typeface="Fira Sans" panose="020B0503050000020004" pitchFamily="34" charset="0"/>
              <a:ea typeface="+mn-ea"/>
              <a:cs typeface="+mn-cs"/>
            </a:rPr>
            <a:t>Complete the application form and submit all attachments as a single PDF document by </a:t>
          </a:r>
        </a:p>
        <a:p>
          <a:pPr>
            <a:buNone/>
          </a:pPr>
          <a:r>
            <a:rPr lang="en-AU" sz="950" b="1" i="1">
              <a:latin typeface="Fira Sans" panose="020B0503050000020004" pitchFamily="34" charset="0"/>
              <a:ea typeface="+mn-ea"/>
              <a:cs typeface="+mn-cs"/>
            </a:rPr>
            <a:t>29 May 2023</a:t>
          </a:r>
          <a:r>
            <a:rPr lang="en-AU" sz="950" i="1">
              <a:latin typeface="Fira Sans" panose="020B0503050000020004" pitchFamily="34" charset="0"/>
              <a:ea typeface="+mn-ea"/>
              <a:cs typeface="+mn-cs"/>
            </a:rPr>
            <a:t>. Late applications will not be considered.</a:t>
          </a:r>
        </a:p>
      </dgm:t>
    </dgm:pt>
    <dgm:pt modelId="{E220A16D-8C3A-4F18-AF24-F289FE8A2A6E}" type="parTrans" cxnId="{14FEE8E9-622F-46E3-82EF-0A99BBB416CF}">
      <dgm:prSet/>
      <dgm:spPr/>
      <dgm:t>
        <a:bodyPr/>
        <a:lstStyle/>
        <a:p>
          <a:endParaRPr lang="en-AU" sz="950"/>
        </a:p>
      </dgm:t>
    </dgm:pt>
    <dgm:pt modelId="{1834FB89-6B42-4740-895D-8E4B75D5A508}" type="sibTrans" cxnId="{14FEE8E9-622F-46E3-82EF-0A99BBB416CF}">
      <dgm:prSet custT="1"/>
      <dgm:spPr>
        <a:xfrm rot="5400000">
          <a:off x="2811708" y="1418256"/>
          <a:ext cx="215407" cy="258488"/>
        </a:xfrm>
        <a:prstGeom prst="rightArrow">
          <a:avLst>
            <a:gd name="adj1" fmla="val 60000"/>
            <a:gd name="adj2" fmla="val 50000"/>
          </a:avLst>
        </a:prstGeom>
      </dgm:spPr>
      <dgm:t>
        <a:bodyPr/>
        <a:lstStyle/>
        <a:p>
          <a:pPr>
            <a:buNone/>
          </a:pPr>
          <a:endParaRPr lang="en-AU" sz="950">
            <a:solidFill>
              <a:sysClr val="window" lastClr="FFFFFF"/>
            </a:solidFill>
            <a:latin typeface="Calibri" panose="020F0502020204030204"/>
            <a:ea typeface="+mn-ea"/>
            <a:cs typeface="+mn-cs"/>
          </a:endParaRPr>
        </a:p>
      </dgm:t>
    </dgm:pt>
    <dgm:pt modelId="{35C3CB10-3AF2-4AFB-9EA0-498A7464D450}">
      <dgm:prSet custT="1"/>
      <dgm:spPr>
        <a:xfrm>
          <a:off x="65159" y="2471838"/>
          <a:ext cx="5708506" cy="576808"/>
        </a:xfrm>
      </dgm:spPr>
      <dgm:t>
        <a:bodyPr/>
        <a:lstStyle/>
        <a:p>
          <a:pPr>
            <a:buNone/>
          </a:pPr>
          <a:r>
            <a:rPr lang="en-AU" sz="1000" b="1">
              <a:latin typeface="Fira Sans" panose="020B0503050000020004" pitchFamily="34" charset="0"/>
              <a:ea typeface="+mn-ea"/>
              <a:cs typeface="+mn-cs"/>
            </a:rPr>
            <a:t>Notification of outcomes</a:t>
          </a:r>
        </a:p>
        <a:p>
          <a:pPr>
            <a:buNone/>
          </a:pPr>
          <a:r>
            <a:rPr lang="en-AU" sz="950" i="1">
              <a:latin typeface="Fira Sans" panose="020B0503050000020004" pitchFamily="34" charset="0"/>
              <a:ea typeface="+mn-ea"/>
              <a:cs typeface="+mn-cs"/>
            </a:rPr>
            <a:t>Applicants advised of outcome of application by </a:t>
          </a:r>
          <a:r>
            <a:rPr lang="en-AU" sz="950" b="1" i="1">
              <a:latin typeface="Fira Sans" panose="020B0503050000020004" pitchFamily="34" charset="0"/>
              <a:ea typeface="+mn-ea"/>
              <a:cs typeface="+mn-cs"/>
            </a:rPr>
            <a:t>14 July 2023</a:t>
          </a:r>
          <a:r>
            <a:rPr lang="en-AU" sz="950" i="1">
              <a:latin typeface="Fira Sans" panose="020B0503050000020004" pitchFamily="34" charset="0"/>
              <a:ea typeface="+mn-ea"/>
              <a:cs typeface="+mn-cs"/>
            </a:rPr>
            <a:t>. </a:t>
          </a:r>
          <a:br>
            <a:rPr lang="en-AU" sz="950" i="1">
              <a:latin typeface="Fira Sans" panose="020B0503050000020004" pitchFamily="34" charset="0"/>
              <a:ea typeface="+mn-ea"/>
              <a:cs typeface="+mn-cs"/>
            </a:rPr>
          </a:br>
          <a:r>
            <a:rPr lang="en-AU" sz="950" i="1">
              <a:latin typeface="Fira Sans" panose="020B0503050000020004" pitchFamily="34" charset="0"/>
              <a:ea typeface="+mn-ea"/>
              <a:cs typeface="+mn-cs"/>
            </a:rPr>
            <a:t>Funding arrangements negotiated with successful applicants by </a:t>
          </a:r>
          <a:r>
            <a:rPr lang="en-AU" sz="950" b="1" i="1">
              <a:latin typeface="Fira Sans" panose="020B0503050000020004" pitchFamily="34" charset="0"/>
              <a:ea typeface="+mn-ea"/>
              <a:cs typeface="+mn-cs"/>
            </a:rPr>
            <a:t>28 July 2023</a:t>
          </a:r>
          <a:r>
            <a:rPr lang="en-AU" sz="950" i="1">
              <a:latin typeface="Fira Sans" panose="020B0503050000020004" pitchFamily="34" charset="0"/>
              <a:ea typeface="+mn-ea"/>
              <a:cs typeface="+mn-cs"/>
            </a:rPr>
            <a:t>.</a:t>
          </a:r>
        </a:p>
      </dgm:t>
    </dgm:pt>
    <dgm:pt modelId="{1833AFAB-3764-4560-BF39-6DD3891D9A54}" type="parTrans" cxnId="{8062DA59-BF35-40CA-AD7C-106F75059EA8}">
      <dgm:prSet/>
      <dgm:spPr/>
      <dgm:t>
        <a:bodyPr/>
        <a:lstStyle/>
        <a:p>
          <a:endParaRPr lang="en-AU" sz="950"/>
        </a:p>
      </dgm:t>
    </dgm:pt>
    <dgm:pt modelId="{CA054E67-6D10-48C3-B45E-25A9DF2A4832}" type="sibTrans" cxnId="{8062DA59-BF35-40CA-AD7C-106F75059EA8}">
      <dgm:prSet custT="1"/>
      <dgm:spPr>
        <a:xfrm rot="5400000">
          <a:off x="2811708" y="3063007"/>
          <a:ext cx="215407" cy="258488"/>
        </a:xfrm>
        <a:prstGeom prst="rightArrow">
          <a:avLst>
            <a:gd name="adj1" fmla="val 60000"/>
            <a:gd name="adj2" fmla="val 50000"/>
          </a:avLst>
        </a:prstGeom>
      </dgm:spPr>
      <dgm:t>
        <a:bodyPr/>
        <a:lstStyle/>
        <a:p>
          <a:pPr>
            <a:buNone/>
          </a:pPr>
          <a:endParaRPr lang="en-AU" sz="950">
            <a:solidFill>
              <a:sysClr val="window" lastClr="FFFFFF"/>
            </a:solidFill>
            <a:latin typeface="Calibri" panose="020F0502020204030204"/>
            <a:ea typeface="+mn-ea"/>
            <a:cs typeface="+mn-cs"/>
          </a:endParaRPr>
        </a:p>
      </dgm:t>
    </dgm:pt>
    <dgm:pt modelId="{00F54CDC-2406-4E93-903F-A2A7D15E672C}">
      <dgm:prSet custT="1"/>
      <dgm:spPr>
        <a:xfrm>
          <a:off x="39093" y="3335857"/>
          <a:ext cx="5760638" cy="395614"/>
        </a:xfrm>
      </dgm:spPr>
      <dgm:t>
        <a:bodyPr/>
        <a:lstStyle/>
        <a:p>
          <a:pPr>
            <a:buNone/>
          </a:pPr>
          <a:r>
            <a:rPr lang="en-AU" sz="1000" b="1">
              <a:latin typeface="Fira Sans" panose="020B0503050000020004" pitchFamily="34" charset="0"/>
              <a:ea typeface="+mn-ea"/>
              <a:cs typeface="+mn-cs"/>
            </a:rPr>
            <a:t>Delivery of funded initiatives</a:t>
          </a:r>
        </a:p>
        <a:p>
          <a:pPr>
            <a:buNone/>
          </a:pPr>
          <a:r>
            <a:rPr lang="en-AU" sz="950" i="1">
              <a:latin typeface="Fira Sans" panose="020B0503050000020004" pitchFamily="34" charset="0"/>
              <a:ea typeface="+mn-ea"/>
              <a:cs typeface="+mn-cs"/>
            </a:rPr>
            <a:t>Funding recipients undertake funded initiatives and complete milestones as required.</a:t>
          </a:r>
        </a:p>
      </dgm:t>
    </dgm:pt>
    <dgm:pt modelId="{BA95198B-30A1-4008-A490-E36CD93607C7}" type="parTrans" cxnId="{2CB93768-B35E-4F47-A3BA-1650F23E6B62}">
      <dgm:prSet/>
      <dgm:spPr/>
      <dgm:t>
        <a:bodyPr/>
        <a:lstStyle/>
        <a:p>
          <a:endParaRPr lang="en-AU" sz="950"/>
        </a:p>
      </dgm:t>
    </dgm:pt>
    <dgm:pt modelId="{A46E3141-9ABA-4A0E-8A0A-566AE4521074}" type="sibTrans" cxnId="{2CB93768-B35E-4F47-A3BA-1650F23E6B62}">
      <dgm:prSet custT="1"/>
      <dgm:spPr>
        <a:xfrm rot="5400000">
          <a:off x="2811708" y="3745831"/>
          <a:ext cx="215407" cy="258488"/>
        </a:xfrm>
        <a:prstGeom prst="rightArrow">
          <a:avLst>
            <a:gd name="adj1" fmla="val 60000"/>
            <a:gd name="adj2" fmla="val 50000"/>
          </a:avLst>
        </a:prstGeom>
      </dgm:spPr>
      <dgm:t>
        <a:bodyPr/>
        <a:lstStyle/>
        <a:p>
          <a:pPr>
            <a:buNone/>
          </a:pPr>
          <a:endParaRPr lang="en-AU" sz="950">
            <a:solidFill>
              <a:sysClr val="window" lastClr="FFFFFF"/>
            </a:solidFill>
            <a:latin typeface="Calibri" panose="020F0502020204030204"/>
            <a:ea typeface="+mn-ea"/>
            <a:cs typeface="+mn-cs"/>
          </a:endParaRPr>
        </a:p>
      </dgm:t>
    </dgm:pt>
    <dgm:pt modelId="{B450C2CB-C271-4A7A-A916-9980B21A690B}">
      <dgm:prSet custT="1"/>
      <dgm:spPr>
        <a:xfrm>
          <a:off x="52121" y="4018680"/>
          <a:ext cx="5734582" cy="372350"/>
        </a:xfrm>
      </dgm:spPr>
      <dgm:t>
        <a:bodyPr/>
        <a:lstStyle/>
        <a:p>
          <a:pPr>
            <a:buNone/>
          </a:pPr>
          <a:r>
            <a:rPr lang="en-AU" sz="1000" b="1">
              <a:latin typeface="Fira Sans" panose="020B0503050000020004" pitchFamily="34" charset="0"/>
              <a:ea typeface="+mn-ea"/>
              <a:cs typeface="+mn-cs"/>
            </a:rPr>
            <a:t>Reporting</a:t>
          </a:r>
        </a:p>
        <a:p>
          <a:pPr>
            <a:buNone/>
          </a:pPr>
          <a:r>
            <a:rPr lang="en-AU" sz="950" i="1">
              <a:latin typeface="Fira Sans" panose="020B0503050000020004" pitchFamily="34" charset="0"/>
              <a:ea typeface="+mn-ea"/>
              <a:cs typeface="+mn-cs"/>
            </a:rPr>
            <a:t>Funding recipients complete relevant reporting requirements.</a:t>
          </a:r>
        </a:p>
      </dgm:t>
    </dgm:pt>
    <dgm:pt modelId="{1AE01BEF-4C8C-486C-9FB1-A6CCEDBDF544}" type="parTrans" cxnId="{ED23953B-A372-4C75-AFB7-4DE15A6E977A}">
      <dgm:prSet/>
      <dgm:spPr/>
      <dgm:t>
        <a:bodyPr/>
        <a:lstStyle/>
        <a:p>
          <a:endParaRPr lang="en-AU" sz="950"/>
        </a:p>
      </dgm:t>
    </dgm:pt>
    <dgm:pt modelId="{FFEFB9A6-D382-415A-9283-3F03E9635218}" type="sibTrans" cxnId="{ED23953B-A372-4C75-AFB7-4DE15A6E977A}">
      <dgm:prSet custT="1"/>
      <dgm:spPr>
        <a:xfrm rot="5400000">
          <a:off x="2811708" y="4405391"/>
          <a:ext cx="215407" cy="258488"/>
        </a:xfrm>
        <a:prstGeom prst="rightArrow">
          <a:avLst>
            <a:gd name="adj1" fmla="val 60000"/>
            <a:gd name="adj2" fmla="val 50000"/>
          </a:avLst>
        </a:prstGeom>
      </dgm:spPr>
      <dgm:t>
        <a:bodyPr/>
        <a:lstStyle/>
        <a:p>
          <a:pPr>
            <a:buNone/>
          </a:pPr>
          <a:endParaRPr lang="en-AU" sz="950">
            <a:solidFill>
              <a:sysClr val="window" lastClr="FFFFFF"/>
            </a:solidFill>
            <a:latin typeface="Calibri" panose="020F0502020204030204"/>
            <a:ea typeface="+mn-ea"/>
            <a:cs typeface="+mn-cs"/>
          </a:endParaRPr>
        </a:p>
      </dgm:t>
    </dgm:pt>
    <dgm:pt modelId="{D3499C3D-369A-45E3-804C-41BDC5CF42D1}">
      <dgm:prSet custT="1"/>
      <dgm:spPr>
        <a:xfrm>
          <a:off x="30967" y="4678240"/>
          <a:ext cx="5776890" cy="339688"/>
        </a:xfrm>
      </dgm:spPr>
      <dgm:t>
        <a:bodyPr/>
        <a:lstStyle/>
        <a:p>
          <a:pPr>
            <a:buNone/>
          </a:pPr>
          <a:r>
            <a:rPr lang="en-AU" sz="1000" b="1">
              <a:latin typeface="Fira Sans" panose="020B0503050000020004" pitchFamily="34" charset="0"/>
              <a:ea typeface="+mn-ea"/>
              <a:cs typeface="+mn-cs"/>
            </a:rPr>
            <a:t>Evaluation</a:t>
          </a:r>
        </a:p>
        <a:p>
          <a:pPr>
            <a:buNone/>
          </a:pPr>
          <a:r>
            <a:rPr lang="en-US" sz="950" b="0" i="1">
              <a:latin typeface="Fira Sans" panose="020B0503050000020004" pitchFamily="34" charset="0"/>
              <a:ea typeface="+mn-ea"/>
              <a:cs typeface="Arial" panose="020B0604020202020204" pitchFamily="34" charset="0"/>
            </a:rPr>
            <a:t>Evaluation of initiative outcomes in conjunction with funding recipients.</a:t>
          </a:r>
          <a:endParaRPr lang="en-AU" sz="950">
            <a:latin typeface="Fira Sans" panose="020B0503050000020004" pitchFamily="34" charset="0"/>
            <a:ea typeface="+mn-ea"/>
            <a:cs typeface="+mn-cs"/>
          </a:endParaRPr>
        </a:p>
      </dgm:t>
    </dgm:pt>
    <dgm:pt modelId="{1903401D-DC87-4ADD-978C-D4E757AC0B1A}" type="parTrans" cxnId="{92EE8D93-166F-467B-892C-6BDF6C688923}">
      <dgm:prSet/>
      <dgm:spPr/>
      <dgm:t>
        <a:bodyPr/>
        <a:lstStyle/>
        <a:p>
          <a:endParaRPr lang="en-AU" sz="950"/>
        </a:p>
      </dgm:t>
    </dgm:pt>
    <dgm:pt modelId="{14A95B49-72DC-42FA-BC1D-AF6A6215A25A}" type="sibTrans" cxnId="{92EE8D93-166F-467B-892C-6BDF6C688923}">
      <dgm:prSet/>
      <dgm:spPr/>
      <dgm:t>
        <a:bodyPr/>
        <a:lstStyle/>
        <a:p>
          <a:endParaRPr lang="en-AU" sz="950"/>
        </a:p>
      </dgm:t>
    </dgm:pt>
    <dgm:pt modelId="{267E4E31-3736-485F-A6F9-4844B8C98665}">
      <dgm:prSet phldrT="[Text]" custT="1"/>
      <dgm:spPr>
        <a:xfrm>
          <a:off x="39093" y="1691105"/>
          <a:ext cx="5760638" cy="493523"/>
        </a:xfrm>
      </dgm:spPr>
      <dgm:t>
        <a:bodyPr/>
        <a:lstStyle/>
        <a:p>
          <a:pPr>
            <a:buNone/>
          </a:pPr>
          <a:endParaRPr lang="en-AU" sz="950" b="1">
            <a:latin typeface="Calibri" panose="020F0502020204030204"/>
            <a:ea typeface="+mn-ea"/>
            <a:cs typeface="+mn-cs"/>
          </a:endParaRPr>
        </a:p>
        <a:p>
          <a:pPr>
            <a:buNone/>
          </a:pPr>
          <a:r>
            <a:rPr lang="en-AU" sz="1000" b="1">
              <a:latin typeface="Fira Sans" panose="020B0503050000020004" pitchFamily="34" charset="0"/>
              <a:ea typeface="+mn-ea"/>
              <a:cs typeface="+mn-cs"/>
            </a:rPr>
            <a:t>Assessment of applications</a:t>
          </a:r>
        </a:p>
        <a:p>
          <a:pPr>
            <a:buNone/>
          </a:pPr>
          <a:r>
            <a:rPr lang="en-AU" sz="950" b="0" i="1">
              <a:latin typeface="Fira Sans" panose="020B0503050000020004" pitchFamily="34" charset="0"/>
              <a:ea typeface="+mn-ea"/>
              <a:cs typeface="+mn-cs"/>
            </a:rPr>
            <a:t>Applications evaluated by Funding Assessment Committee by </a:t>
          </a:r>
          <a:r>
            <a:rPr lang="en-AU" sz="950" b="1" i="1">
              <a:latin typeface="Fira Sans" panose="020B0503050000020004" pitchFamily="34" charset="0"/>
              <a:ea typeface="+mn-ea"/>
              <a:cs typeface="+mn-cs"/>
            </a:rPr>
            <a:t>30 June 2023</a:t>
          </a:r>
          <a:r>
            <a:rPr lang="en-AU" sz="950" b="0" i="1">
              <a:latin typeface="Fira Sans" panose="020B0503050000020004" pitchFamily="34" charset="0"/>
              <a:ea typeface="+mn-ea"/>
              <a:cs typeface="+mn-cs"/>
            </a:rPr>
            <a:t>.</a:t>
          </a:r>
        </a:p>
        <a:p>
          <a:pPr>
            <a:buNone/>
          </a:pPr>
          <a:endParaRPr lang="en-AU" sz="950">
            <a:latin typeface="Calibri" panose="020F0502020204030204"/>
            <a:ea typeface="+mn-ea"/>
            <a:cs typeface="+mn-cs"/>
          </a:endParaRPr>
        </a:p>
      </dgm:t>
    </dgm:pt>
    <dgm:pt modelId="{9239125E-FC35-41D8-AE3F-83327BF14291}" type="sibTrans" cxnId="{16802366-0779-40FB-A5FF-8444C90F57F0}">
      <dgm:prSet custT="1"/>
      <dgm:spPr>
        <a:xfrm rot="5400000">
          <a:off x="2811708" y="2198989"/>
          <a:ext cx="215407" cy="258488"/>
        </a:xfrm>
        <a:prstGeom prst="rightArrow">
          <a:avLst>
            <a:gd name="adj1" fmla="val 60000"/>
            <a:gd name="adj2" fmla="val 50000"/>
          </a:avLst>
        </a:prstGeom>
      </dgm:spPr>
      <dgm:t>
        <a:bodyPr/>
        <a:lstStyle/>
        <a:p>
          <a:pPr>
            <a:buNone/>
          </a:pPr>
          <a:endParaRPr lang="en-AU" sz="950">
            <a:solidFill>
              <a:sysClr val="window" lastClr="FFFFFF"/>
            </a:solidFill>
            <a:latin typeface="Calibri" panose="020F0502020204030204"/>
            <a:ea typeface="+mn-ea"/>
            <a:cs typeface="+mn-cs"/>
          </a:endParaRPr>
        </a:p>
      </dgm:t>
    </dgm:pt>
    <dgm:pt modelId="{D5D1BD6E-5D95-4868-894E-EB1FF6322030}" type="parTrans" cxnId="{16802366-0779-40FB-A5FF-8444C90F57F0}">
      <dgm:prSet/>
      <dgm:spPr/>
      <dgm:t>
        <a:bodyPr/>
        <a:lstStyle/>
        <a:p>
          <a:endParaRPr lang="en-AU" sz="950"/>
        </a:p>
      </dgm:t>
    </dgm:pt>
    <dgm:pt modelId="{DB6BB291-6866-4073-BE8D-02271282C61A}" type="pres">
      <dgm:prSet presAssocID="{5594E28E-18DE-4A51-A2B4-8255EA076FB7}" presName="Name0" presStyleCnt="0">
        <dgm:presLayoutVars>
          <dgm:dir/>
          <dgm:animLvl val="lvl"/>
          <dgm:resizeHandles val="exact"/>
        </dgm:presLayoutVars>
      </dgm:prSet>
      <dgm:spPr/>
    </dgm:pt>
    <dgm:pt modelId="{AE211823-1D94-4B8C-9E3B-07787E8E069C}" type="pres">
      <dgm:prSet presAssocID="{D3499C3D-369A-45E3-804C-41BDC5CF42D1}" presName="boxAndChildren" presStyleCnt="0"/>
      <dgm:spPr/>
    </dgm:pt>
    <dgm:pt modelId="{04B154A7-0A30-452C-B846-C30734783B86}" type="pres">
      <dgm:prSet presAssocID="{D3499C3D-369A-45E3-804C-41BDC5CF42D1}" presName="parentTextBox" presStyleLbl="node1" presStyleIdx="0" presStyleCnt="7" custScaleY="151868"/>
      <dgm:spPr>
        <a:prstGeom prst="roundRect">
          <a:avLst>
            <a:gd name="adj" fmla="val 10000"/>
          </a:avLst>
        </a:prstGeom>
      </dgm:spPr>
    </dgm:pt>
    <dgm:pt modelId="{5D78AA6E-9D4A-42D8-9D7E-54C621B06291}" type="pres">
      <dgm:prSet presAssocID="{FFEFB9A6-D382-415A-9283-3F03E9635218}" presName="sp" presStyleCnt="0"/>
      <dgm:spPr/>
    </dgm:pt>
    <dgm:pt modelId="{86F5519C-0C80-4044-AA89-84EFE62DB490}" type="pres">
      <dgm:prSet presAssocID="{B450C2CB-C271-4A7A-A916-9980B21A690B}" presName="arrowAndChildren" presStyleCnt="0"/>
      <dgm:spPr/>
    </dgm:pt>
    <dgm:pt modelId="{1837CDED-3E85-4E2A-AC8B-456C5046E466}" type="pres">
      <dgm:prSet presAssocID="{B450C2CB-C271-4A7A-A916-9980B21A690B}" presName="parentTextArrow" presStyleLbl="node1" presStyleIdx="1" presStyleCnt="7"/>
      <dgm:spPr>
        <a:prstGeom prst="roundRect">
          <a:avLst>
            <a:gd name="adj" fmla="val 10000"/>
          </a:avLst>
        </a:prstGeom>
      </dgm:spPr>
    </dgm:pt>
    <dgm:pt modelId="{542EA821-AB79-4546-ABEB-36DD25FF49EE}" type="pres">
      <dgm:prSet presAssocID="{A46E3141-9ABA-4A0E-8A0A-566AE4521074}" presName="sp" presStyleCnt="0"/>
      <dgm:spPr/>
    </dgm:pt>
    <dgm:pt modelId="{57D026A0-FB4F-4606-9019-1502CADD3979}" type="pres">
      <dgm:prSet presAssocID="{00F54CDC-2406-4E93-903F-A2A7D15E672C}" presName="arrowAndChildren" presStyleCnt="0"/>
      <dgm:spPr/>
    </dgm:pt>
    <dgm:pt modelId="{8BE4F772-ADB4-48E7-8A25-71AAB8C86B12}" type="pres">
      <dgm:prSet presAssocID="{00F54CDC-2406-4E93-903F-A2A7D15E672C}" presName="parentTextArrow" presStyleLbl="node1" presStyleIdx="2" presStyleCnt="7"/>
      <dgm:spPr>
        <a:prstGeom prst="roundRect">
          <a:avLst>
            <a:gd name="adj" fmla="val 10000"/>
          </a:avLst>
        </a:prstGeom>
      </dgm:spPr>
    </dgm:pt>
    <dgm:pt modelId="{D9E4F278-A532-4BC9-9F83-6F3170AC1512}" type="pres">
      <dgm:prSet presAssocID="{CA054E67-6D10-48C3-B45E-25A9DF2A4832}" presName="sp" presStyleCnt="0"/>
      <dgm:spPr/>
    </dgm:pt>
    <dgm:pt modelId="{706F5AF4-FC80-41B4-B4D2-0FCF8DE65E6A}" type="pres">
      <dgm:prSet presAssocID="{35C3CB10-3AF2-4AFB-9EA0-498A7464D450}" presName="arrowAndChildren" presStyleCnt="0"/>
      <dgm:spPr/>
    </dgm:pt>
    <dgm:pt modelId="{1E1F7680-716F-47A8-8E5C-2A6F1EF95E85}" type="pres">
      <dgm:prSet presAssocID="{35C3CB10-3AF2-4AFB-9EA0-498A7464D450}" presName="parentTextArrow" presStyleLbl="node1" presStyleIdx="3" presStyleCnt="7" custScaleY="124277"/>
      <dgm:spPr>
        <a:prstGeom prst="roundRect">
          <a:avLst>
            <a:gd name="adj" fmla="val 10000"/>
          </a:avLst>
        </a:prstGeom>
      </dgm:spPr>
    </dgm:pt>
    <dgm:pt modelId="{0C9549F6-747A-4D73-BD97-B91C009358B8}" type="pres">
      <dgm:prSet presAssocID="{9239125E-FC35-41D8-AE3F-83327BF14291}" presName="sp" presStyleCnt="0"/>
      <dgm:spPr/>
    </dgm:pt>
    <dgm:pt modelId="{A018986F-5C94-40E1-A7D7-E59B3A3BCB8D}" type="pres">
      <dgm:prSet presAssocID="{267E4E31-3736-485F-A6F9-4844B8C98665}" presName="arrowAndChildren" presStyleCnt="0"/>
      <dgm:spPr/>
    </dgm:pt>
    <dgm:pt modelId="{07C70D36-8ECD-4C6A-987D-A06CECC6383F}" type="pres">
      <dgm:prSet presAssocID="{267E4E31-3736-485F-A6F9-4844B8C98665}" presName="parentTextArrow" presStyleLbl="node1" presStyleIdx="4" presStyleCnt="7"/>
      <dgm:spPr>
        <a:prstGeom prst="roundRect">
          <a:avLst>
            <a:gd name="adj" fmla="val 10000"/>
          </a:avLst>
        </a:prstGeom>
      </dgm:spPr>
    </dgm:pt>
    <dgm:pt modelId="{A386A787-2046-49F4-8CDE-1E6111C6848E}" type="pres">
      <dgm:prSet presAssocID="{1834FB89-6B42-4740-895D-8E4B75D5A508}" presName="sp" presStyleCnt="0"/>
      <dgm:spPr/>
    </dgm:pt>
    <dgm:pt modelId="{351B7AB7-2B40-4BC2-AA6B-DD2651003C8D}" type="pres">
      <dgm:prSet presAssocID="{52A2178F-B2F5-4BB9-AE98-644E5135D866}" presName="arrowAndChildren" presStyleCnt="0"/>
      <dgm:spPr/>
    </dgm:pt>
    <dgm:pt modelId="{CEF35AF0-3896-400B-9FE4-B288DA76028E}" type="pres">
      <dgm:prSet presAssocID="{52A2178F-B2F5-4BB9-AE98-644E5135D866}" presName="parentTextArrow" presStyleLbl="node1" presStyleIdx="5" presStyleCnt="7" custScaleY="126894"/>
      <dgm:spPr>
        <a:prstGeom prst="roundRect">
          <a:avLst>
            <a:gd name="adj" fmla="val 10000"/>
          </a:avLst>
        </a:prstGeom>
      </dgm:spPr>
    </dgm:pt>
    <dgm:pt modelId="{47763DC5-417C-4F7A-B559-A38B54CA839B}" type="pres">
      <dgm:prSet presAssocID="{F4AC78BF-4E46-4E66-9B16-A2362DFD9C04}" presName="sp" presStyleCnt="0"/>
      <dgm:spPr/>
    </dgm:pt>
    <dgm:pt modelId="{D387D664-984F-4BAA-ADF8-00FC54BBF4AF}" type="pres">
      <dgm:prSet presAssocID="{B8A444B8-2B5E-445B-96A5-D4D337712B5A}" presName="arrowAndChildren" presStyleCnt="0"/>
      <dgm:spPr/>
    </dgm:pt>
    <dgm:pt modelId="{AD83484F-22BA-4A0F-8C06-B4281A1E3254}" type="pres">
      <dgm:prSet presAssocID="{B8A444B8-2B5E-445B-96A5-D4D337712B5A}" presName="parentTextArrow" presStyleLbl="node1" presStyleIdx="6" presStyleCnt="7" custScaleY="67409"/>
      <dgm:spPr>
        <a:prstGeom prst="roundRect">
          <a:avLst>
            <a:gd name="adj" fmla="val 10000"/>
          </a:avLst>
        </a:prstGeom>
      </dgm:spPr>
    </dgm:pt>
  </dgm:ptLst>
  <dgm:cxnLst>
    <dgm:cxn modelId="{B5E23407-2DE2-40BE-B5D6-5466E442DCA2}" type="presOf" srcId="{52A2178F-B2F5-4BB9-AE98-644E5135D866}" destId="{CEF35AF0-3896-400B-9FE4-B288DA76028E}" srcOrd="0" destOrd="0" presId="urn:microsoft.com/office/officeart/2005/8/layout/process4"/>
    <dgm:cxn modelId="{47697B16-1F2D-422A-A141-9F70D126EFE7}" type="presOf" srcId="{B8A444B8-2B5E-445B-96A5-D4D337712B5A}" destId="{AD83484F-22BA-4A0F-8C06-B4281A1E3254}" srcOrd="0" destOrd="0" presId="urn:microsoft.com/office/officeart/2005/8/layout/process4"/>
    <dgm:cxn modelId="{ED23953B-A372-4C75-AFB7-4DE15A6E977A}" srcId="{5594E28E-18DE-4A51-A2B4-8255EA076FB7}" destId="{B450C2CB-C271-4A7A-A916-9980B21A690B}" srcOrd="5" destOrd="0" parTransId="{1AE01BEF-4C8C-486C-9FB1-A6CCEDBDF544}" sibTransId="{FFEFB9A6-D382-415A-9283-3F03E9635218}"/>
    <dgm:cxn modelId="{16802366-0779-40FB-A5FF-8444C90F57F0}" srcId="{5594E28E-18DE-4A51-A2B4-8255EA076FB7}" destId="{267E4E31-3736-485F-A6F9-4844B8C98665}" srcOrd="2" destOrd="0" parTransId="{D5D1BD6E-5D95-4868-894E-EB1FF6322030}" sibTransId="{9239125E-FC35-41D8-AE3F-83327BF14291}"/>
    <dgm:cxn modelId="{51C28247-E401-474B-822E-7595D565E82B}" type="presOf" srcId="{267E4E31-3736-485F-A6F9-4844B8C98665}" destId="{07C70D36-8ECD-4C6A-987D-A06CECC6383F}" srcOrd="0" destOrd="0" presId="urn:microsoft.com/office/officeart/2005/8/layout/process4"/>
    <dgm:cxn modelId="{2CB93768-B35E-4F47-A3BA-1650F23E6B62}" srcId="{5594E28E-18DE-4A51-A2B4-8255EA076FB7}" destId="{00F54CDC-2406-4E93-903F-A2A7D15E672C}" srcOrd="4" destOrd="0" parTransId="{BA95198B-30A1-4008-A490-E36CD93607C7}" sibTransId="{A46E3141-9ABA-4A0E-8A0A-566AE4521074}"/>
    <dgm:cxn modelId="{25445C4D-DE2A-489F-85F1-A7D5917D3ADE}" type="presOf" srcId="{35C3CB10-3AF2-4AFB-9EA0-498A7464D450}" destId="{1E1F7680-716F-47A8-8E5C-2A6F1EF95E85}" srcOrd="0" destOrd="0" presId="urn:microsoft.com/office/officeart/2005/8/layout/process4"/>
    <dgm:cxn modelId="{8062DA59-BF35-40CA-AD7C-106F75059EA8}" srcId="{5594E28E-18DE-4A51-A2B4-8255EA076FB7}" destId="{35C3CB10-3AF2-4AFB-9EA0-498A7464D450}" srcOrd="3" destOrd="0" parTransId="{1833AFAB-3764-4560-BF39-6DD3891D9A54}" sibTransId="{CA054E67-6D10-48C3-B45E-25A9DF2A4832}"/>
    <dgm:cxn modelId="{92EE8D93-166F-467B-892C-6BDF6C688923}" srcId="{5594E28E-18DE-4A51-A2B4-8255EA076FB7}" destId="{D3499C3D-369A-45E3-804C-41BDC5CF42D1}" srcOrd="6" destOrd="0" parTransId="{1903401D-DC87-4ADD-978C-D4E757AC0B1A}" sibTransId="{14A95B49-72DC-42FA-BC1D-AF6A6215A25A}"/>
    <dgm:cxn modelId="{8B61DA8A-9BD3-4320-B838-C7B0195CEED3}" srcId="{5594E28E-18DE-4A51-A2B4-8255EA076FB7}" destId="{B8A444B8-2B5E-445B-96A5-D4D337712B5A}" srcOrd="0" destOrd="0" parTransId="{A56DEB09-39DD-4351-B557-B800FCFB6882}" sibTransId="{F4AC78BF-4E46-4E66-9B16-A2362DFD9C04}"/>
    <dgm:cxn modelId="{E76365B4-0B04-48B1-9E4A-A2A6F08353B2}" type="presOf" srcId="{5594E28E-18DE-4A51-A2B4-8255EA076FB7}" destId="{DB6BB291-6866-4073-BE8D-02271282C61A}" srcOrd="0" destOrd="0" presId="urn:microsoft.com/office/officeart/2005/8/layout/process4"/>
    <dgm:cxn modelId="{699E08E6-90B2-4AEB-AFB9-0C54152A6802}" type="presOf" srcId="{D3499C3D-369A-45E3-804C-41BDC5CF42D1}" destId="{04B154A7-0A30-452C-B846-C30734783B86}" srcOrd="0" destOrd="0" presId="urn:microsoft.com/office/officeart/2005/8/layout/process4"/>
    <dgm:cxn modelId="{9E6745C7-6EE5-46D3-8F67-45F92364F1B6}" type="presOf" srcId="{B450C2CB-C271-4A7A-A916-9980B21A690B}" destId="{1837CDED-3E85-4E2A-AC8B-456C5046E466}" srcOrd="0" destOrd="0" presId="urn:microsoft.com/office/officeart/2005/8/layout/process4"/>
    <dgm:cxn modelId="{14FEE8E9-622F-46E3-82EF-0A99BBB416CF}" srcId="{5594E28E-18DE-4A51-A2B4-8255EA076FB7}" destId="{52A2178F-B2F5-4BB9-AE98-644E5135D866}" srcOrd="1" destOrd="0" parTransId="{E220A16D-8C3A-4F18-AF24-F289FE8A2A6E}" sibTransId="{1834FB89-6B42-4740-895D-8E4B75D5A508}"/>
    <dgm:cxn modelId="{50EA44F8-0FE1-4FD4-88CB-A4BD125F2C13}" type="presOf" srcId="{00F54CDC-2406-4E93-903F-A2A7D15E672C}" destId="{8BE4F772-ADB4-48E7-8A25-71AAB8C86B12}" srcOrd="0" destOrd="0" presId="urn:microsoft.com/office/officeart/2005/8/layout/process4"/>
    <dgm:cxn modelId="{B160317D-2C60-48BF-9B4D-CCC9C9A22607}" type="presParOf" srcId="{DB6BB291-6866-4073-BE8D-02271282C61A}" destId="{AE211823-1D94-4B8C-9E3B-07787E8E069C}" srcOrd="0" destOrd="0" presId="urn:microsoft.com/office/officeart/2005/8/layout/process4"/>
    <dgm:cxn modelId="{0B58521A-DC72-46B8-AF03-F1B99FAB9218}" type="presParOf" srcId="{AE211823-1D94-4B8C-9E3B-07787E8E069C}" destId="{04B154A7-0A30-452C-B846-C30734783B86}" srcOrd="0" destOrd="0" presId="urn:microsoft.com/office/officeart/2005/8/layout/process4"/>
    <dgm:cxn modelId="{A25ED0DB-AF90-4978-B3E5-C609FCAAA580}" type="presParOf" srcId="{DB6BB291-6866-4073-BE8D-02271282C61A}" destId="{5D78AA6E-9D4A-42D8-9D7E-54C621B06291}" srcOrd="1" destOrd="0" presId="urn:microsoft.com/office/officeart/2005/8/layout/process4"/>
    <dgm:cxn modelId="{081EB661-6DCD-4AB7-BEC0-23D376FD183C}" type="presParOf" srcId="{DB6BB291-6866-4073-BE8D-02271282C61A}" destId="{86F5519C-0C80-4044-AA89-84EFE62DB490}" srcOrd="2" destOrd="0" presId="urn:microsoft.com/office/officeart/2005/8/layout/process4"/>
    <dgm:cxn modelId="{6E3EFC04-ADDF-49F0-A192-FC4683D60405}" type="presParOf" srcId="{86F5519C-0C80-4044-AA89-84EFE62DB490}" destId="{1837CDED-3E85-4E2A-AC8B-456C5046E466}" srcOrd="0" destOrd="0" presId="urn:microsoft.com/office/officeart/2005/8/layout/process4"/>
    <dgm:cxn modelId="{568A2A55-BD85-4E40-9A1C-CCFCE2F4ECE3}" type="presParOf" srcId="{DB6BB291-6866-4073-BE8D-02271282C61A}" destId="{542EA821-AB79-4546-ABEB-36DD25FF49EE}" srcOrd="3" destOrd="0" presId="urn:microsoft.com/office/officeart/2005/8/layout/process4"/>
    <dgm:cxn modelId="{AD66836E-FCFB-427C-829E-E9D0A2688ABD}" type="presParOf" srcId="{DB6BB291-6866-4073-BE8D-02271282C61A}" destId="{57D026A0-FB4F-4606-9019-1502CADD3979}" srcOrd="4" destOrd="0" presId="urn:microsoft.com/office/officeart/2005/8/layout/process4"/>
    <dgm:cxn modelId="{BF9C5F2E-6F7A-42BB-A67C-CBAC96E11FB6}" type="presParOf" srcId="{57D026A0-FB4F-4606-9019-1502CADD3979}" destId="{8BE4F772-ADB4-48E7-8A25-71AAB8C86B12}" srcOrd="0" destOrd="0" presId="urn:microsoft.com/office/officeart/2005/8/layout/process4"/>
    <dgm:cxn modelId="{E4A74ADD-3853-4CB3-B960-CD8FB5664ACB}" type="presParOf" srcId="{DB6BB291-6866-4073-BE8D-02271282C61A}" destId="{D9E4F278-A532-4BC9-9F83-6F3170AC1512}" srcOrd="5" destOrd="0" presId="urn:microsoft.com/office/officeart/2005/8/layout/process4"/>
    <dgm:cxn modelId="{A8045F40-BAB6-4BF2-81CC-FD96ADEBCB05}" type="presParOf" srcId="{DB6BB291-6866-4073-BE8D-02271282C61A}" destId="{706F5AF4-FC80-41B4-B4D2-0FCF8DE65E6A}" srcOrd="6" destOrd="0" presId="urn:microsoft.com/office/officeart/2005/8/layout/process4"/>
    <dgm:cxn modelId="{F592F881-C6C1-4BD8-A73A-AD4453F96B1F}" type="presParOf" srcId="{706F5AF4-FC80-41B4-B4D2-0FCF8DE65E6A}" destId="{1E1F7680-716F-47A8-8E5C-2A6F1EF95E85}" srcOrd="0" destOrd="0" presId="urn:microsoft.com/office/officeart/2005/8/layout/process4"/>
    <dgm:cxn modelId="{16E20A69-E98C-4BCE-95BB-D5953EA9DE13}" type="presParOf" srcId="{DB6BB291-6866-4073-BE8D-02271282C61A}" destId="{0C9549F6-747A-4D73-BD97-B91C009358B8}" srcOrd="7" destOrd="0" presId="urn:microsoft.com/office/officeart/2005/8/layout/process4"/>
    <dgm:cxn modelId="{C4598821-703B-423D-88C9-8F805903674D}" type="presParOf" srcId="{DB6BB291-6866-4073-BE8D-02271282C61A}" destId="{A018986F-5C94-40E1-A7D7-E59B3A3BCB8D}" srcOrd="8" destOrd="0" presId="urn:microsoft.com/office/officeart/2005/8/layout/process4"/>
    <dgm:cxn modelId="{50ABFAF9-145D-4DB7-BFEA-97AD04BE323B}" type="presParOf" srcId="{A018986F-5C94-40E1-A7D7-E59B3A3BCB8D}" destId="{07C70D36-8ECD-4C6A-987D-A06CECC6383F}" srcOrd="0" destOrd="0" presId="urn:microsoft.com/office/officeart/2005/8/layout/process4"/>
    <dgm:cxn modelId="{EEFEBCDE-4D02-4BA2-89D2-25222A13412D}" type="presParOf" srcId="{DB6BB291-6866-4073-BE8D-02271282C61A}" destId="{A386A787-2046-49F4-8CDE-1E6111C6848E}" srcOrd="9" destOrd="0" presId="urn:microsoft.com/office/officeart/2005/8/layout/process4"/>
    <dgm:cxn modelId="{530B6957-A739-4EB4-B074-741894AD018E}" type="presParOf" srcId="{DB6BB291-6866-4073-BE8D-02271282C61A}" destId="{351B7AB7-2B40-4BC2-AA6B-DD2651003C8D}" srcOrd="10" destOrd="0" presId="urn:microsoft.com/office/officeart/2005/8/layout/process4"/>
    <dgm:cxn modelId="{398FA2F5-30CC-4BA9-9A95-02E9C9787335}" type="presParOf" srcId="{351B7AB7-2B40-4BC2-AA6B-DD2651003C8D}" destId="{CEF35AF0-3896-400B-9FE4-B288DA76028E}" srcOrd="0" destOrd="0" presId="urn:microsoft.com/office/officeart/2005/8/layout/process4"/>
    <dgm:cxn modelId="{FAEF2CCE-31CF-4DBC-8527-5D35EE6B6E07}" type="presParOf" srcId="{DB6BB291-6866-4073-BE8D-02271282C61A}" destId="{47763DC5-417C-4F7A-B559-A38B54CA839B}" srcOrd="11" destOrd="0" presId="urn:microsoft.com/office/officeart/2005/8/layout/process4"/>
    <dgm:cxn modelId="{40903CC2-D600-403A-8895-A6AE56CE43D9}" type="presParOf" srcId="{DB6BB291-6866-4073-BE8D-02271282C61A}" destId="{D387D664-984F-4BAA-ADF8-00FC54BBF4AF}" srcOrd="12" destOrd="0" presId="urn:microsoft.com/office/officeart/2005/8/layout/process4"/>
    <dgm:cxn modelId="{1C2DE163-E0EA-40EA-B9A7-07899F456DF7}" type="presParOf" srcId="{D387D664-984F-4BAA-ADF8-00FC54BBF4AF}" destId="{AD83484F-22BA-4A0F-8C06-B4281A1E3254}"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B154A7-0A30-452C-B846-C30734783B86}">
      <dsp:nvSpPr>
        <dsp:cNvPr id="0" name=""/>
        <dsp:cNvSpPr/>
      </dsp:nvSpPr>
      <dsp:spPr>
        <a:xfrm>
          <a:off x="0" y="3440389"/>
          <a:ext cx="5615940" cy="55415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b="1" kern="1200">
              <a:latin typeface="Fira Sans" panose="020B0503050000020004" pitchFamily="34" charset="0"/>
              <a:ea typeface="+mn-ea"/>
              <a:cs typeface="+mn-cs"/>
            </a:rPr>
            <a:t>Evaluation</a:t>
          </a:r>
        </a:p>
        <a:p>
          <a:pPr marL="0" lvl="0" indent="0" algn="ctr" defTabSz="444500">
            <a:lnSpc>
              <a:spcPct val="90000"/>
            </a:lnSpc>
            <a:spcBef>
              <a:spcPct val="0"/>
            </a:spcBef>
            <a:spcAft>
              <a:spcPct val="35000"/>
            </a:spcAft>
            <a:buNone/>
          </a:pPr>
          <a:r>
            <a:rPr lang="en-US" sz="950" b="0" i="1" kern="1200">
              <a:latin typeface="Fira Sans" panose="020B0503050000020004" pitchFamily="34" charset="0"/>
              <a:ea typeface="+mn-ea"/>
              <a:cs typeface="Arial" panose="020B0604020202020204" pitchFamily="34" charset="0"/>
            </a:rPr>
            <a:t>Evaluation of initiative outcomes in conjunction with funding recipients.</a:t>
          </a:r>
          <a:endParaRPr lang="en-AU" sz="950" kern="1200">
            <a:latin typeface="Fira Sans" panose="020B0503050000020004" pitchFamily="34" charset="0"/>
            <a:ea typeface="+mn-ea"/>
            <a:cs typeface="+mn-cs"/>
          </a:endParaRPr>
        </a:p>
      </dsp:txBody>
      <dsp:txXfrm>
        <a:off x="16231" y="3456620"/>
        <a:ext cx="5583478" cy="521694"/>
      </dsp:txXfrm>
    </dsp:sp>
    <dsp:sp modelId="{1837CDED-3E85-4E2A-AC8B-456C5046E466}">
      <dsp:nvSpPr>
        <dsp:cNvPr id="0" name=""/>
        <dsp:cNvSpPr/>
      </dsp:nvSpPr>
      <dsp:spPr>
        <a:xfrm rot="10800000">
          <a:off x="0" y="2884656"/>
          <a:ext cx="5615940" cy="56120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b="1" kern="1200">
              <a:latin typeface="Fira Sans" panose="020B0503050000020004" pitchFamily="34" charset="0"/>
              <a:ea typeface="+mn-ea"/>
              <a:cs typeface="+mn-cs"/>
            </a:rPr>
            <a:t>Reporting</a:t>
          </a:r>
        </a:p>
        <a:p>
          <a:pPr marL="0" lvl="0" indent="0" algn="ctr" defTabSz="444500">
            <a:lnSpc>
              <a:spcPct val="90000"/>
            </a:lnSpc>
            <a:spcBef>
              <a:spcPct val="0"/>
            </a:spcBef>
            <a:spcAft>
              <a:spcPct val="35000"/>
            </a:spcAft>
            <a:buNone/>
          </a:pPr>
          <a:r>
            <a:rPr lang="en-AU" sz="950" i="1" kern="1200">
              <a:latin typeface="Fira Sans" panose="020B0503050000020004" pitchFamily="34" charset="0"/>
              <a:ea typeface="+mn-ea"/>
              <a:cs typeface="+mn-cs"/>
            </a:rPr>
            <a:t>Funding recipients complete relevant reporting requirements.</a:t>
          </a:r>
        </a:p>
      </dsp:txBody>
      <dsp:txXfrm rot="10800000">
        <a:off x="16437" y="2901093"/>
        <a:ext cx="5583066" cy="528332"/>
      </dsp:txXfrm>
    </dsp:sp>
    <dsp:sp modelId="{8BE4F772-ADB4-48E7-8A25-71AAB8C86B12}">
      <dsp:nvSpPr>
        <dsp:cNvPr id="0" name=""/>
        <dsp:cNvSpPr/>
      </dsp:nvSpPr>
      <dsp:spPr>
        <a:xfrm rot="10800000">
          <a:off x="0" y="2328924"/>
          <a:ext cx="5615940" cy="56120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b="1" kern="1200">
              <a:latin typeface="Fira Sans" panose="020B0503050000020004" pitchFamily="34" charset="0"/>
              <a:ea typeface="+mn-ea"/>
              <a:cs typeface="+mn-cs"/>
            </a:rPr>
            <a:t>Delivery of funded initiatives</a:t>
          </a:r>
        </a:p>
        <a:p>
          <a:pPr marL="0" lvl="0" indent="0" algn="ctr" defTabSz="444500">
            <a:lnSpc>
              <a:spcPct val="90000"/>
            </a:lnSpc>
            <a:spcBef>
              <a:spcPct val="0"/>
            </a:spcBef>
            <a:spcAft>
              <a:spcPct val="35000"/>
            </a:spcAft>
            <a:buNone/>
          </a:pPr>
          <a:r>
            <a:rPr lang="en-AU" sz="950" i="1" kern="1200">
              <a:latin typeface="Fira Sans" panose="020B0503050000020004" pitchFamily="34" charset="0"/>
              <a:ea typeface="+mn-ea"/>
              <a:cs typeface="+mn-cs"/>
            </a:rPr>
            <a:t>Funding recipients undertake funded initiatives and complete milestones as required.</a:t>
          </a:r>
        </a:p>
      </dsp:txBody>
      <dsp:txXfrm rot="10800000">
        <a:off x="16437" y="2345361"/>
        <a:ext cx="5583066" cy="528332"/>
      </dsp:txXfrm>
    </dsp:sp>
    <dsp:sp modelId="{1E1F7680-716F-47A8-8E5C-2A6F1EF95E85}">
      <dsp:nvSpPr>
        <dsp:cNvPr id="0" name=""/>
        <dsp:cNvSpPr/>
      </dsp:nvSpPr>
      <dsp:spPr>
        <a:xfrm rot="10800000">
          <a:off x="0" y="1636947"/>
          <a:ext cx="5615940" cy="69745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b="1" kern="1200">
              <a:latin typeface="Fira Sans" panose="020B0503050000020004" pitchFamily="34" charset="0"/>
              <a:ea typeface="+mn-ea"/>
              <a:cs typeface="+mn-cs"/>
            </a:rPr>
            <a:t>Notification of outcomes</a:t>
          </a:r>
        </a:p>
        <a:p>
          <a:pPr marL="0" lvl="0" indent="0" algn="ctr" defTabSz="444500">
            <a:lnSpc>
              <a:spcPct val="90000"/>
            </a:lnSpc>
            <a:spcBef>
              <a:spcPct val="0"/>
            </a:spcBef>
            <a:spcAft>
              <a:spcPct val="35000"/>
            </a:spcAft>
            <a:buNone/>
          </a:pPr>
          <a:r>
            <a:rPr lang="en-AU" sz="950" i="1" kern="1200">
              <a:latin typeface="Fira Sans" panose="020B0503050000020004" pitchFamily="34" charset="0"/>
              <a:ea typeface="+mn-ea"/>
              <a:cs typeface="+mn-cs"/>
            </a:rPr>
            <a:t>Applicants advised of outcome of application by </a:t>
          </a:r>
          <a:r>
            <a:rPr lang="en-AU" sz="950" b="1" i="1" kern="1200">
              <a:latin typeface="Fira Sans" panose="020B0503050000020004" pitchFamily="34" charset="0"/>
              <a:ea typeface="+mn-ea"/>
              <a:cs typeface="+mn-cs"/>
            </a:rPr>
            <a:t>14 July 2023</a:t>
          </a:r>
          <a:r>
            <a:rPr lang="en-AU" sz="950" i="1" kern="1200">
              <a:latin typeface="Fira Sans" panose="020B0503050000020004" pitchFamily="34" charset="0"/>
              <a:ea typeface="+mn-ea"/>
              <a:cs typeface="+mn-cs"/>
            </a:rPr>
            <a:t>. </a:t>
          </a:r>
          <a:br>
            <a:rPr lang="en-AU" sz="950" i="1" kern="1200">
              <a:latin typeface="Fira Sans" panose="020B0503050000020004" pitchFamily="34" charset="0"/>
              <a:ea typeface="+mn-ea"/>
              <a:cs typeface="+mn-cs"/>
            </a:rPr>
          </a:br>
          <a:r>
            <a:rPr lang="en-AU" sz="950" i="1" kern="1200">
              <a:latin typeface="Fira Sans" panose="020B0503050000020004" pitchFamily="34" charset="0"/>
              <a:ea typeface="+mn-ea"/>
              <a:cs typeface="+mn-cs"/>
            </a:rPr>
            <a:t>Funding arrangements negotiated with successful applicants by </a:t>
          </a:r>
          <a:r>
            <a:rPr lang="en-AU" sz="950" b="1" i="1" kern="1200">
              <a:latin typeface="Fira Sans" panose="020B0503050000020004" pitchFamily="34" charset="0"/>
              <a:ea typeface="+mn-ea"/>
              <a:cs typeface="+mn-cs"/>
            </a:rPr>
            <a:t>28 July 2023</a:t>
          </a:r>
          <a:r>
            <a:rPr lang="en-AU" sz="950" i="1" kern="1200">
              <a:latin typeface="Fira Sans" panose="020B0503050000020004" pitchFamily="34" charset="0"/>
              <a:ea typeface="+mn-ea"/>
              <a:cs typeface="+mn-cs"/>
            </a:rPr>
            <a:t>.</a:t>
          </a:r>
        </a:p>
      </dsp:txBody>
      <dsp:txXfrm rot="10800000">
        <a:off x="20428" y="1657375"/>
        <a:ext cx="5575084" cy="656594"/>
      </dsp:txXfrm>
    </dsp:sp>
    <dsp:sp modelId="{07C70D36-8ECD-4C6A-987D-A06CECC6383F}">
      <dsp:nvSpPr>
        <dsp:cNvPr id="0" name=""/>
        <dsp:cNvSpPr/>
      </dsp:nvSpPr>
      <dsp:spPr>
        <a:xfrm rot="10800000">
          <a:off x="0" y="1081214"/>
          <a:ext cx="5615940" cy="56120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22275">
            <a:lnSpc>
              <a:spcPct val="90000"/>
            </a:lnSpc>
            <a:spcBef>
              <a:spcPct val="0"/>
            </a:spcBef>
            <a:spcAft>
              <a:spcPct val="35000"/>
            </a:spcAft>
            <a:buNone/>
          </a:pPr>
          <a:endParaRPr lang="en-AU" sz="950" b="1" kern="1200">
            <a:latin typeface="Calibri" panose="020F0502020204030204"/>
            <a:ea typeface="+mn-ea"/>
            <a:cs typeface="+mn-cs"/>
          </a:endParaRPr>
        </a:p>
        <a:p>
          <a:pPr marL="0" lvl="0" indent="0" algn="ctr" defTabSz="422275">
            <a:lnSpc>
              <a:spcPct val="90000"/>
            </a:lnSpc>
            <a:spcBef>
              <a:spcPct val="0"/>
            </a:spcBef>
            <a:spcAft>
              <a:spcPct val="35000"/>
            </a:spcAft>
            <a:buNone/>
          </a:pPr>
          <a:r>
            <a:rPr lang="en-AU" sz="1000" b="1" kern="1200">
              <a:latin typeface="Fira Sans" panose="020B0503050000020004" pitchFamily="34" charset="0"/>
              <a:ea typeface="+mn-ea"/>
              <a:cs typeface="+mn-cs"/>
            </a:rPr>
            <a:t>Assessment of applications</a:t>
          </a:r>
        </a:p>
        <a:p>
          <a:pPr marL="0" lvl="0" indent="0" algn="ctr" defTabSz="422275">
            <a:lnSpc>
              <a:spcPct val="90000"/>
            </a:lnSpc>
            <a:spcBef>
              <a:spcPct val="0"/>
            </a:spcBef>
            <a:spcAft>
              <a:spcPct val="35000"/>
            </a:spcAft>
            <a:buNone/>
          </a:pPr>
          <a:r>
            <a:rPr lang="en-AU" sz="950" b="0" i="1" kern="1200">
              <a:latin typeface="Fira Sans" panose="020B0503050000020004" pitchFamily="34" charset="0"/>
              <a:ea typeface="+mn-ea"/>
              <a:cs typeface="+mn-cs"/>
            </a:rPr>
            <a:t>Applications evaluated by Funding Assessment Committee by </a:t>
          </a:r>
          <a:r>
            <a:rPr lang="en-AU" sz="950" b="1" i="1" kern="1200">
              <a:latin typeface="Fira Sans" panose="020B0503050000020004" pitchFamily="34" charset="0"/>
              <a:ea typeface="+mn-ea"/>
              <a:cs typeface="+mn-cs"/>
            </a:rPr>
            <a:t>30 June 2023</a:t>
          </a:r>
          <a:r>
            <a:rPr lang="en-AU" sz="950" b="0" i="1" kern="1200">
              <a:latin typeface="Fira Sans" panose="020B0503050000020004" pitchFamily="34" charset="0"/>
              <a:ea typeface="+mn-ea"/>
              <a:cs typeface="+mn-cs"/>
            </a:rPr>
            <a:t>.</a:t>
          </a:r>
        </a:p>
        <a:p>
          <a:pPr marL="0" lvl="0" indent="0" algn="ctr" defTabSz="422275">
            <a:lnSpc>
              <a:spcPct val="90000"/>
            </a:lnSpc>
            <a:spcBef>
              <a:spcPct val="0"/>
            </a:spcBef>
            <a:spcAft>
              <a:spcPct val="35000"/>
            </a:spcAft>
            <a:buNone/>
          </a:pPr>
          <a:endParaRPr lang="en-AU" sz="950" kern="1200">
            <a:latin typeface="Calibri" panose="020F0502020204030204"/>
            <a:ea typeface="+mn-ea"/>
            <a:cs typeface="+mn-cs"/>
          </a:endParaRPr>
        </a:p>
      </dsp:txBody>
      <dsp:txXfrm rot="10800000">
        <a:off x="16437" y="1097651"/>
        <a:ext cx="5583066" cy="528332"/>
      </dsp:txXfrm>
    </dsp:sp>
    <dsp:sp modelId="{CEF35AF0-3896-400B-9FE4-B288DA76028E}">
      <dsp:nvSpPr>
        <dsp:cNvPr id="0" name=""/>
        <dsp:cNvSpPr/>
      </dsp:nvSpPr>
      <dsp:spPr>
        <a:xfrm rot="10800000">
          <a:off x="0" y="374550"/>
          <a:ext cx="5615940" cy="712137"/>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b="1" kern="1200">
              <a:latin typeface="Fira Sans" panose="020B0503050000020004" pitchFamily="34" charset="0"/>
              <a:ea typeface="+mn-ea"/>
              <a:cs typeface="+mn-cs"/>
            </a:rPr>
            <a:t>Submit application</a:t>
          </a:r>
        </a:p>
        <a:p>
          <a:pPr marL="0" lvl="0" indent="0" algn="ctr" defTabSz="444500">
            <a:lnSpc>
              <a:spcPct val="90000"/>
            </a:lnSpc>
            <a:spcBef>
              <a:spcPct val="0"/>
            </a:spcBef>
            <a:spcAft>
              <a:spcPct val="35000"/>
            </a:spcAft>
            <a:buNone/>
          </a:pPr>
          <a:r>
            <a:rPr lang="en-AU" sz="950" i="1" kern="1200">
              <a:latin typeface="Fira Sans" panose="020B0503050000020004" pitchFamily="34" charset="0"/>
              <a:ea typeface="+mn-ea"/>
              <a:cs typeface="+mn-cs"/>
            </a:rPr>
            <a:t>Complete the application form and submit all attachments as a single PDF document by </a:t>
          </a:r>
        </a:p>
        <a:p>
          <a:pPr marL="0" lvl="0" indent="0" algn="ctr" defTabSz="444500">
            <a:lnSpc>
              <a:spcPct val="90000"/>
            </a:lnSpc>
            <a:spcBef>
              <a:spcPct val="0"/>
            </a:spcBef>
            <a:spcAft>
              <a:spcPct val="35000"/>
            </a:spcAft>
            <a:buNone/>
          </a:pPr>
          <a:r>
            <a:rPr lang="en-AU" sz="950" b="1" i="1" kern="1200">
              <a:latin typeface="Fira Sans" panose="020B0503050000020004" pitchFamily="34" charset="0"/>
              <a:ea typeface="+mn-ea"/>
              <a:cs typeface="+mn-cs"/>
            </a:rPr>
            <a:t>29 May 2023</a:t>
          </a:r>
          <a:r>
            <a:rPr lang="en-AU" sz="950" i="1" kern="1200">
              <a:latin typeface="Fira Sans" panose="020B0503050000020004" pitchFamily="34" charset="0"/>
              <a:ea typeface="+mn-ea"/>
              <a:cs typeface="+mn-cs"/>
            </a:rPr>
            <a:t>. Late applications will not be considered.</a:t>
          </a:r>
        </a:p>
      </dsp:txBody>
      <dsp:txXfrm rot="10800000">
        <a:off x="20858" y="395408"/>
        <a:ext cx="5574224" cy="670421"/>
      </dsp:txXfrm>
    </dsp:sp>
    <dsp:sp modelId="{AD83484F-22BA-4A0F-8C06-B4281A1E3254}">
      <dsp:nvSpPr>
        <dsp:cNvPr id="0" name=""/>
        <dsp:cNvSpPr/>
      </dsp:nvSpPr>
      <dsp:spPr>
        <a:xfrm rot="10800000">
          <a:off x="0" y="1720"/>
          <a:ext cx="5615940" cy="37830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b="1" kern="1200">
              <a:latin typeface="Fira Sans" panose="020B0503050000020004" pitchFamily="34" charset="0"/>
              <a:ea typeface="+mn-ea"/>
              <a:cs typeface="+mn-cs"/>
            </a:rPr>
            <a:t>Call for applications</a:t>
          </a:r>
        </a:p>
      </dsp:txBody>
      <dsp:txXfrm rot="10800000">
        <a:off x="11080" y="12800"/>
        <a:ext cx="5593780" cy="35614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BDF5A93B884CF0AA74C2794F356A11"/>
        <w:category>
          <w:name w:val="General"/>
          <w:gallery w:val="placeholder"/>
        </w:category>
        <w:types>
          <w:type w:val="bbPlcHdr"/>
        </w:types>
        <w:behaviors>
          <w:behavior w:val="content"/>
        </w:behaviors>
        <w:guid w:val="{1D78FCE0-62B9-476F-82FD-421E32DF0DD5}"/>
      </w:docPartPr>
      <w:docPartBody>
        <w:p w:rsidR="00E877EA" w:rsidRDefault="001448BA">
          <w:pPr>
            <w:pStyle w:val="B4BDF5A93B884CF0AA74C2794F356A11"/>
          </w:pPr>
          <w:r w:rsidRPr="001A5BE2">
            <w:rPr>
              <w:rStyle w:val="PlaceholderText"/>
            </w:rPr>
            <w:t>[Title]</w:t>
          </w:r>
        </w:p>
      </w:docPartBody>
    </w:docPart>
    <w:docPart>
      <w:docPartPr>
        <w:name w:val="F75E0BEB5A1B470ABB0B1DB352540D72"/>
        <w:category>
          <w:name w:val="General"/>
          <w:gallery w:val="placeholder"/>
        </w:category>
        <w:types>
          <w:type w:val="bbPlcHdr"/>
        </w:types>
        <w:behaviors>
          <w:behavior w:val="content"/>
        </w:behaviors>
        <w:guid w:val="{F0E32AE7-B71B-45A4-88C5-FADA34A58FA2}"/>
      </w:docPartPr>
      <w:docPartBody>
        <w:p w:rsidR="00E877EA" w:rsidRDefault="001448BA">
          <w:pPr>
            <w:pStyle w:val="F75E0BEB5A1B470ABB0B1DB352540D72"/>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ira Sans Black">
    <w:altName w:val="Fira Sans Black"/>
    <w:charset w:val="00"/>
    <w:family w:val="swiss"/>
    <w:pitch w:val="variable"/>
    <w:sig w:usb0="600002FF"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BA"/>
    <w:rsid w:val="001448BA"/>
    <w:rsid w:val="002811E7"/>
    <w:rsid w:val="00295BE5"/>
    <w:rsid w:val="00D63BA7"/>
    <w:rsid w:val="00E87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BDF5A93B884CF0AA74C2794F356A11">
    <w:name w:val="B4BDF5A93B884CF0AA74C2794F356A11"/>
  </w:style>
  <w:style w:type="paragraph" w:customStyle="1" w:styleId="F75E0BEB5A1B470ABB0B1DB352540D72">
    <w:name w:val="F75E0BEB5A1B470ABB0B1DB352540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3.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CDC660-F56A-4006-A2AF-067F57ADA247}">
  <ds:schemaRefs>
    <ds:schemaRef ds:uri="http://schemas.openxmlformats.org/officeDocument/2006/bibliography"/>
  </ds:schemaRefs>
</ds:datastoreItem>
</file>

<file path=customXml/itemProps3.xml><?xml version="1.0" encoding="utf-8"?>
<ds:datastoreItem xmlns:ds="http://schemas.openxmlformats.org/officeDocument/2006/customXml" ds:itemID="{5127EC46-25D4-4F72-A870-5F51A42B4591}">
  <ds:schemaRefs>
    <ds:schemaRef ds:uri="http://schemas.microsoft.com/office/2009/07/customui"/>
  </ds:schemaRefs>
</ds:datastoreItem>
</file>

<file path=docProps/app.xml><?xml version="1.0" encoding="utf-8"?>
<Properties xmlns="http://schemas.openxmlformats.org/officeDocument/2006/extended-properties" xmlns:vt="http://schemas.openxmlformats.org/officeDocument/2006/docPropsVTypes">
  <Template>2022 Word Template (A4, Portrait)</Template>
  <TotalTime>116</TotalTime>
  <Pages>15</Pages>
  <Words>3143</Words>
  <Characters>19501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Funding opportunity process guidelines</vt:lpstr>
    </vt:vector>
  </TitlesOfParts>
  <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opportunity process guidelines</dc:title>
  <dc:subject>Medical Practitioner Workforce Plan for Queensland</dc:subject>
  <dc:creator>Tamara Hughes</dc:creator>
  <cp:keywords/>
  <dc:description/>
  <cp:lastModifiedBy>Tamara Hughes</cp:lastModifiedBy>
  <cp:revision>6</cp:revision>
  <cp:lastPrinted>2023-03-20T22:42:00Z</cp:lastPrinted>
  <dcterms:created xsi:type="dcterms:W3CDTF">2023-04-13T03:54:00Z</dcterms:created>
  <dcterms:modified xsi:type="dcterms:W3CDTF">2023-04-17T01:58:00Z</dcterms:modified>
</cp:coreProperties>
</file>