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070547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070547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07054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07054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2C16675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Acute Adult Inpatient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CE0E923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057F32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72CFB9EB" w:rsidR="00294B2A" w:rsidRPr="00070547" w:rsidRDefault="0032331D" w:rsidP="0032331D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capable of providing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short- to medium-term or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intermittent inpatient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mental health care to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low-risk/complexity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voluntary adult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consumers.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0B0F46A6" w:rsidR="00294B2A" w:rsidRPr="00070547" w:rsidRDefault="0032331D" w:rsidP="0032331D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provides general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healthcare and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care 24 hours a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day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10E5330F" w:rsidR="00294B2A" w:rsidRPr="00070547" w:rsidRDefault="0032331D" w:rsidP="0032331D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delivered predominantly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by general and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professionals (onsite) within a general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medical facility that has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limited number of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allocated mental health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beds or may operate as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mental health special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care suite/area.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77C177" w14:textId="77777777" w:rsidR="0032331D" w:rsidRPr="00070547" w:rsidRDefault="0032331D" w:rsidP="008D5477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service provision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typically includes: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</w:p>
              <w:p w14:paraId="58A3DE1F" w14:textId="379A6525" w:rsidR="00FA4931" w:rsidRPr="00070547" w:rsidRDefault="0032331D" w:rsidP="0032331D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assessment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targeted interventions by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general and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professionals;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consumer and carer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education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information; documented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case review; primary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limited secondary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prevention programs;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consultation-liaison with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higher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lastRenderedPageBreak/>
                  <w:t>level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services;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referral, where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32ED5" w:rsidRPr="00371A1D" w14:paraId="361B3D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39E0D2" w14:textId="25C1FAF6" w:rsidR="00232ED5" w:rsidRPr="00070547" w:rsidRDefault="0032331D" w:rsidP="0032331D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if providing non-ablative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neurosurgical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procedures, agreement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must exist with public or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suitably licensed private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facility that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provides higher level of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mental health service for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transfer of consumers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following postoperative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period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–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treating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psychiatrist shall assess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consumer prior to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discharge to determine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whether transfer to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higher level of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service is required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to meet the clinical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mental health needs of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the consumer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72C995" w14:textId="77777777" w:rsidR="00232ED5" w:rsidRPr="00BF32A8" w:rsidRDefault="00232ED5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AC252F" w14:textId="77777777" w:rsidR="00232ED5" w:rsidRPr="00F35279" w:rsidRDefault="00232ED5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50619D62" w:rsidR="00294B2A" w:rsidRPr="00070547" w:rsidRDefault="001245E1" w:rsidP="001245E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identification, acute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assessment, brief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proofErr w:type="gramStart"/>
                <w:r w:rsidRPr="00070547">
                  <w:rPr>
                    <w:rFonts w:eastAsia="ArialMT" w:cs="Arial"/>
                    <w:sz w:val="19"/>
                    <w:szCs w:val="19"/>
                  </w:rPr>
                  <w:t>intervention</w:t>
                </w:r>
                <w:proofErr w:type="gramEnd"/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monitoring of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problems (that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may be associated with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simple comorbidities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and/or resistance to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treatment).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5D529B7F" w:rsidR="00294B2A" w:rsidRPr="00070547" w:rsidRDefault="001245E1" w:rsidP="001245E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development of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comprehensive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individual mental health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recovery plan within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A4392EB" w:rsidR="00294B2A" w:rsidRPr="00070547" w:rsidRDefault="001245E1" w:rsidP="001245E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limited range of primary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(</w:t>
                </w:r>
                <w:proofErr w:type="gramStart"/>
                <w:r w:rsidRPr="00070547">
                  <w:rPr>
                    <w:rFonts w:eastAsia="ArialMT" w:cs="Arial"/>
                    <w:sz w:val="19"/>
                    <w:szCs w:val="19"/>
                  </w:rPr>
                  <w:t>e.g.</w:t>
                </w:r>
                <w:proofErr w:type="gramEnd"/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stress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management)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secondary (e.g. weight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management) prevention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72E1FD8D" w:rsidR="00294B2A" w:rsidRPr="00070547" w:rsidRDefault="001245E1" w:rsidP="001245E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P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sychoeducation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(including information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about available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services,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problems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illnesses, indicated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treatment options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6CE7461E" w:rsidR="00294B2A" w:rsidRPr="00070547" w:rsidRDefault="001245E1" w:rsidP="001245E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mental health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assessments,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interventions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monitoring conducted by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general and mental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 clinicians of this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7FA54787" w:rsidR="00294B2A" w:rsidRPr="00070547" w:rsidRDefault="001245E1" w:rsidP="001245E1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an infant can only be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admitted with his/her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mother to an adult acute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mental health inpatient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unit as defined in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Subsection 4.3, Perinatal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and Infant Services, of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this module.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021AEB50" w:rsidR="00294B2A" w:rsidRPr="00070547" w:rsidRDefault="001245E1" w:rsidP="001245E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if providing non-ablative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neurosurgical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procedures, on-site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Level 6 surgical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6819AEF9" w:rsidR="009E7E12" w:rsidRPr="00070547" w:rsidRDefault="00070547" w:rsidP="00070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lastRenderedPageBreak/>
                  <w:t>admitted by / under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registered medical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specialist with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credentials in psychiatry.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73902941" w:rsidR="009E7E12" w:rsidRPr="00070547" w:rsidRDefault="00070547" w:rsidP="00070547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daily care coordinated by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registered medical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specialist with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credentials in psychiatry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and/or registered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medical practitioner who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has access to registered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medical specialist with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credentials in psychiatry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to assist and guide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assessment, treatment,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case management and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case review (may be via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70C174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06C40" w14:textId="7ED3CCF0" w:rsidR="00FA4931" w:rsidRPr="00070547" w:rsidRDefault="00070547" w:rsidP="007F6994">
                <w:pPr>
                  <w:pStyle w:val="BodyText2ColumnCondensed"/>
                  <w:numPr>
                    <w:ilvl w:val="0"/>
                    <w:numId w:val="11"/>
                  </w:numPr>
                  <w:spacing w:before="0" w:after="0" w:line="240" w:lineRule="auto"/>
                  <w:ind w:left="357" w:hanging="357"/>
                  <w:rPr>
                    <w:rFonts w:cs="ArialMT"/>
                    <w:szCs w:val="19"/>
                  </w:rPr>
                </w:pPr>
                <w:r w:rsidRPr="00070547">
                  <w:rPr>
                    <w:rFonts w:cs="ArialMT"/>
                    <w:szCs w:val="19"/>
                    <w:lang w:val="en-US"/>
                  </w:rPr>
                  <w:t>if providing non-ablative neurosurgical procedures, surgical service provided by qualified and experienced specialist medical practitioner with credentials in neurosurgery</w:t>
                </w:r>
                <w:r w:rsidRPr="00070547">
                  <w:rPr>
                    <w:rFonts w:cs="ArialMT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35CA75" w14:textId="77777777" w:rsidR="00FA4931" w:rsidRPr="00BF32A8" w:rsidRDefault="00FA493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A4EA68" w14:textId="77777777" w:rsidR="00FA4931" w:rsidRPr="00BF32A8" w:rsidRDefault="00FA493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237231D8" w:rsidR="00887948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suitably qualified and experienced registered nurse in charge (however titled)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38C25F90" w:rsidR="00887948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qualified and experienced registered nurse in charge of each shift with skills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0E39ADB5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4D1C1E05" w:rsidR="00154AB4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 xml:space="preserve">other suitably qualified nursing staff working within their scope of clinical practice.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F6994" w:rsidRPr="00371A1D" w14:paraId="3D6B5D0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66674" w14:textId="32A907DD" w:rsidR="007F6994" w:rsidRPr="007F6994" w:rsidRDefault="00070547" w:rsidP="00070547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070547">
                  <w:rPr>
                    <w:rFonts w:eastAsia="ArialMT" w:cs="Arial"/>
                    <w:sz w:val="19"/>
                    <w:szCs w:val="19"/>
                  </w:rPr>
                  <w:t>at least one registered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nurse per shift with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qualifications and/or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experience in mental</w:t>
                </w:r>
                <w:r>
                  <w:rPr>
                    <w:rFonts w:eastAsia="ArialMT" w:cs="Arial"/>
                    <w:sz w:val="19"/>
                    <w:szCs w:val="19"/>
                  </w:rPr>
                  <w:t xml:space="preserve"> </w:t>
                </w:r>
                <w:r w:rsidRPr="00070547">
                  <w:rPr>
                    <w:rFonts w:eastAsia="ArialMT" w:cs="Arial"/>
                    <w:sz w:val="19"/>
                    <w:szCs w:val="19"/>
                  </w:rPr>
                  <w:t>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4547E3" w14:textId="77777777" w:rsidR="007F6994" w:rsidRPr="00BF32A8" w:rsidRDefault="007F699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E37779" w14:textId="77777777" w:rsidR="007F6994" w:rsidRPr="00BF32A8" w:rsidRDefault="007F699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7F848BFB" w:rsidR="00154AB4" w:rsidRPr="00FA4931" w:rsidRDefault="00070547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070547">
                  <w:rPr>
                    <w:lang w:val="en-US"/>
                  </w:rPr>
                  <w:t>access—during business hours—to community- or hospital-based allied health professionals with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32C48D9B" w:rsidR="00FA4931" w:rsidRPr="007F6994" w:rsidRDefault="007F6994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F6994">
                  <w:rPr>
                    <w:rFonts w:eastAsia="ArialMT" w:cs="Arial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2E37A12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F12EBC" w14:textId="225C2205" w:rsidR="007F6994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Bachelor of Nursing students (second or third year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9AC9FF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442477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5B4B4B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23274" w14:textId="0B54F2D2" w:rsidR="007F6994" w:rsidRPr="007F6994" w:rsidRDefault="007F6994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F6994">
                  <w:rPr>
                    <w:rFonts w:eastAsia="ArialMT" w:cs="Arial"/>
                    <w:szCs w:val="19"/>
                  </w:rPr>
                  <w:t>access to IPRA (public sector only)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C6772D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BD6D236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lastRenderedPageBreak/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7D26F2D5" w14:textId="5A3EC432" w:rsidR="00070547" w:rsidRDefault="00070547" w:rsidP="0007054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6 – Perioperative (relevant section/s) *</w:t>
                </w:r>
              </w:p>
              <w:p w14:paraId="3E097B00" w14:textId="34F9A4E1" w:rsidR="00070547" w:rsidRPr="00545099" w:rsidRDefault="00070547" w:rsidP="0007054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6 – Surgical *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7A2A8DE5" w:rsidR="00154AB4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7F6994">
                  <w:rPr>
                    <w:sz w:val="19"/>
                    <w:szCs w:val="19"/>
                  </w:rPr>
                  <w:t>1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19FE1706" w14:textId="77777777" w:rsidR="00070547" w:rsidRDefault="007F6994" w:rsidP="0007054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Medication </w:t>
                </w:r>
              </w:p>
              <w:p w14:paraId="1717B7C7" w14:textId="4E41CE9B" w:rsidR="004722FC" w:rsidRPr="00070547" w:rsidRDefault="00070547" w:rsidP="0007054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A3CB600" w14:textId="77777777" w:rsidR="00070547" w:rsidRDefault="00070547"/>
        <w:bookmarkEnd w:id="0" w:displacedByCustomXml="next"/>
      </w:sdtContent>
    </w:sdt>
    <w:p w14:paraId="2A6B38A0" w14:textId="64F75A55" w:rsidR="00070547" w:rsidRDefault="00070547" w:rsidP="00070547">
      <w:pPr>
        <w:pStyle w:val="ListBullet"/>
        <w:numPr>
          <w:ilvl w:val="0"/>
          <w:numId w:val="0"/>
        </w:numPr>
        <w:spacing w:after="0" w:line="240" w:lineRule="auto"/>
        <w:ind w:left="360"/>
        <w:rPr>
          <w:sz w:val="19"/>
          <w:szCs w:val="19"/>
        </w:rPr>
      </w:pPr>
      <w:r>
        <w:t xml:space="preserve">* </w:t>
      </w:r>
      <w:r>
        <w:rPr>
          <w:sz w:val="19"/>
          <w:szCs w:val="19"/>
        </w:rPr>
        <w:t>required if non-ablative neurosurgical procedures performed</w:t>
      </w:r>
    </w:p>
    <w:p w14:paraId="59B9DC26" w14:textId="6E682DC3" w:rsidR="0084460D" w:rsidRPr="00371A1D" w:rsidRDefault="0084460D" w:rsidP="00070547">
      <w:pPr>
        <w:pStyle w:val="ListBullet"/>
        <w:numPr>
          <w:ilvl w:val="0"/>
          <w:numId w:val="0"/>
        </w:numPr>
        <w:ind w:left="360" w:hanging="360"/>
      </w:pPr>
    </w:p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070547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070547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07054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07054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094328"/>
    <w:multiLevelType w:val="multilevel"/>
    <w:tmpl w:val="C2FE460C"/>
    <w:numStyleLink w:val="Bullets"/>
  </w:abstractNum>
  <w:abstractNum w:abstractNumId="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57F32"/>
    <w:rsid w:val="00060860"/>
    <w:rsid w:val="00065A54"/>
    <w:rsid w:val="00066B7B"/>
    <w:rsid w:val="00070547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5E1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331D"/>
    <w:rsid w:val="0032406F"/>
    <w:rsid w:val="003324A5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CDD48D80-6522-4018-9D45-B1BECA99DAE2}"/>
</file>

<file path=customXml/itemProps5.xml><?xml version="1.0" encoding="utf-8"?>
<ds:datastoreItem xmlns:ds="http://schemas.openxmlformats.org/officeDocument/2006/customXml" ds:itemID="{9416CFC0-3E94-4FBE-B7F4-AF2D3902E784}"/>
</file>

<file path=customXml/itemProps6.xml><?xml version="1.0" encoding="utf-8"?>
<ds:datastoreItem xmlns:ds="http://schemas.openxmlformats.org/officeDocument/2006/customXml" ds:itemID="{A7FF5883-4328-4D4D-82C9-4599AF000E79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20</TotalTime>
  <Pages>4</Pages>
  <Words>631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2022-03-31T02:47:00Z</dcterms:created>
  <dcterms:modified xsi:type="dcterms:W3CDTF">2022-03-31T03:06:00Z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