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286A7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86A7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286A7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86A7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13EEC0E2" w:rsidR="00E45740" w:rsidRPr="00B3484E" w:rsidRDefault="00EA21FC" w:rsidP="00E45740">
                <w:pPr>
                  <w:spacing w:before="40" w:after="40"/>
                  <w:rPr>
                    <w:b/>
                    <w:bCs/>
                    <w:sz w:val="22"/>
                    <w:szCs w:val="22"/>
                  </w:rPr>
                </w:pPr>
                <w:r>
                  <w:rPr>
                    <w:b/>
                    <w:sz w:val="24"/>
                  </w:rPr>
                  <w:t xml:space="preserve">Perioperative – </w:t>
                </w:r>
                <w:r w:rsidR="00E5274B">
                  <w:rPr>
                    <w:b/>
                    <w:sz w:val="24"/>
                  </w:rPr>
                  <w:t>Acute Pain</w:t>
                </w:r>
                <w:r>
                  <w:rPr>
                    <w:b/>
                    <w:sz w:val="24"/>
                  </w:rPr>
                  <w:t xml:space="preserve"> </w:t>
                </w:r>
                <w:r w:rsidR="00E45740">
                  <w:rPr>
                    <w:b/>
                    <w:sz w:val="24"/>
                  </w:rPr>
                  <w:t>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10A2B71A" w:rsidR="00E45740" w:rsidRPr="00B3484E" w:rsidRDefault="00EA21FC" w:rsidP="00E45740">
                <w:pPr>
                  <w:spacing w:before="40" w:after="40"/>
                  <w:rPr>
                    <w:b/>
                    <w:bCs/>
                    <w:sz w:val="22"/>
                    <w:szCs w:val="22"/>
                  </w:rPr>
                </w:pPr>
                <w:r>
                  <w:rPr>
                    <w:b/>
                    <w:bCs/>
                    <w:sz w:val="22"/>
                    <w:szCs w:val="22"/>
                  </w:rPr>
                  <w:t xml:space="preserve">Level </w:t>
                </w:r>
                <w:r w:rsidR="00E5274B">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4C1EBAE4" w:rsidR="00294B2A" w:rsidRPr="00286A71" w:rsidRDefault="00462EE9" w:rsidP="00286A71">
                <w:pPr>
                  <w:pStyle w:val="ListBullet"/>
                  <w:spacing w:after="0" w:line="240" w:lineRule="auto"/>
                  <w:rPr>
                    <w:b/>
                    <w:sz w:val="19"/>
                    <w:szCs w:val="19"/>
                  </w:rPr>
                </w:pPr>
                <w:r w:rsidRPr="00286A71">
                  <w:rPr>
                    <w:sz w:val="19"/>
                    <w:szCs w:val="19"/>
                  </w:rPr>
                  <w:t xml:space="preserve">provides multidisciplinary approach to management of acute pain, with aim of providing pain relief, better patient outcomes and reduced incidences of postoperative complications or side effects. </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418832F" w14:textId="77777777" w:rsidR="008B5750" w:rsidRDefault="008B5750" w:rsidP="008B575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1E513C37" w14:textId="6B6D9E14" w:rsidR="00294B2A" w:rsidRPr="00BF32A8" w:rsidRDefault="008B5750" w:rsidP="008B5750">
                <w:pPr>
                  <w:spacing w:before="40" w:after="40"/>
                  <w:rPr>
                    <w:sz w:val="19"/>
                    <w:szCs w:val="19"/>
                  </w:rPr>
                </w:pPr>
                <w:r>
                  <w:rPr>
                    <w:color w:val="006D35" w:themeColor="accent6" w:themeShade="BF"/>
                    <w:sz w:val="19"/>
                    <w:szCs w:val="19"/>
                  </w:rPr>
                  <w:t>Please attach admission policy/criteria</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32DFC450" w14:textId="18913A78" w:rsidR="00F36E00" w:rsidRPr="00286A71" w:rsidRDefault="00462EE9" w:rsidP="00286A71">
                <w:pPr>
                  <w:pStyle w:val="ListBullet"/>
                  <w:spacing w:after="0" w:line="240" w:lineRule="auto"/>
                  <w:rPr>
                    <w:b/>
                    <w:sz w:val="19"/>
                    <w:szCs w:val="19"/>
                  </w:rPr>
                </w:pPr>
                <w:r w:rsidRPr="00286A71">
                  <w:rPr>
                    <w:sz w:val="19"/>
                    <w:szCs w:val="19"/>
                  </w:rPr>
                  <w:t>provided 24 hour/s.</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77777777" w:rsidR="00F36E00" w:rsidRDefault="00F36E00" w:rsidP="008B5750">
                <w:pPr>
                  <w:spacing w:before="40" w:after="40"/>
                  <w:rPr>
                    <w:color w:val="006D35" w:themeColor="accent6" w:themeShade="BF"/>
                    <w:sz w:val="19"/>
                    <w:szCs w:val="19"/>
                  </w:rPr>
                </w:pP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5773319F" w:rsidR="00294B2A" w:rsidRPr="00286A71" w:rsidRDefault="00462EE9" w:rsidP="00286A71">
                <w:pPr>
                  <w:pStyle w:val="ListBullet"/>
                  <w:spacing w:after="0" w:line="240" w:lineRule="auto"/>
                  <w:rPr>
                    <w:b/>
                    <w:sz w:val="19"/>
                    <w:szCs w:val="19"/>
                  </w:rPr>
                </w:pPr>
                <w:r w:rsidRPr="00286A71">
                  <w:rPr>
                    <w:sz w:val="19"/>
                    <w:szCs w:val="19"/>
                  </w:rPr>
                  <w:t>must have documented processes with Level 4, 5 or 6 anaesthetic service.</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69B61E7D" w:rsidR="00294B2A" w:rsidRPr="00286A71" w:rsidRDefault="00462EE9" w:rsidP="00286A71">
                <w:pPr>
                  <w:pStyle w:val="ListBullet"/>
                  <w:spacing w:after="0" w:line="240" w:lineRule="auto"/>
                  <w:ind w:left="357"/>
                  <w:rPr>
                    <w:b/>
                    <w:sz w:val="19"/>
                    <w:szCs w:val="19"/>
                  </w:rPr>
                </w:pPr>
                <w:r w:rsidRPr="00286A71">
                  <w:rPr>
                    <w:sz w:val="19"/>
                    <w:szCs w:val="19"/>
                  </w:rPr>
                  <w:t>specialist services and/or functions may be provided on visiting basis.</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2694780E"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registered medical specialists with credentials in anaesthetics provide services for patients with acute or chronic (persistent) pain.</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4CEA0DC6"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documented processes and protocols for management of pain services for patients.</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7589CDA8"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 xml:space="preserve">liaison and coordination with surgical and trauma services to </w:t>
                </w:r>
                <w:r w:rsidRPr="00286A71">
                  <w:rPr>
                    <w:sz w:val="19"/>
                    <w:szCs w:val="19"/>
                  </w:rPr>
                  <w:lastRenderedPageBreak/>
                  <w:t>ensure patient access to pain services.</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6A444075"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access to subspecialties in surgery (including medicine), where necessary.</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288DF754"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acute pain services may manage patients with epidural and trauma injuries, and postoperative surgical patients.</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5EB8E9AF"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pain management services for children may be provided.</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12E6E3A" w:rsidR="009E7E12"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t>medical practitioners experience in acute pain management as mandated in training for Fellowship in Anaesthesia (Australian and New Zealand College of Anaesthetists) and Fellowship in Pain Medicine (Faculty of Pain Medicine, Australian and New Zealand College of Anaesthetists</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1A0C1DA0" w14:textId="455782A3" w:rsidR="00F35279"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t>medical and nursing staff with expertise in acute pain management</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7AC37C84" w:rsidR="009E7E12"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t>nursing staff with knowledge and experience commensurate with their responsibilities in acute pain management</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2D9A2D2" w:rsidR="000361CA" w:rsidRPr="00286A71" w:rsidRDefault="00462EE9" w:rsidP="00286A71">
                <w:pPr>
                  <w:pStyle w:val="ListBullet"/>
                  <w:numPr>
                    <w:ilvl w:val="0"/>
                    <w:numId w:val="11"/>
                  </w:numPr>
                  <w:spacing w:after="0" w:line="240" w:lineRule="auto"/>
                  <w:rPr>
                    <w:sz w:val="19"/>
                    <w:szCs w:val="19"/>
                  </w:rPr>
                </w:pPr>
                <w:r w:rsidRPr="00286A71">
                  <w:rPr>
                    <w:sz w:val="19"/>
                    <w:szCs w:val="19"/>
                  </w:rPr>
                  <w:t>multidisciplinary liaison with physiotherapists, psychologists and pharmacists</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4F9A6203" w14:textId="2D475BB5" w:rsidR="000361CA" w:rsidRPr="00286A71" w:rsidRDefault="00462EE9" w:rsidP="00286A71">
                <w:pPr>
                  <w:pStyle w:val="ListBullet"/>
                  <w:numPr>
                    <w:ilvl w:val="0"/>
                    <w:numId w:val="11"/>
                  </w:numPr>
                  <w:spacing w:after="0" w:line="240" w:lineRule="auto"/>
                  <w:rPr>
                    <w:sz w:val="19"/>
                    <w:szCs w:val="19"/>
                  </w:rPr>
                </w:pPr>
                <w:r w:rsidRPr="00286A71">
                  <w:rPr>
                    <w:sz w:val="19"/>
                    <w:szCs w:val="19"/>
                  </w:rPr>
                  <w:t xml:space="preserve">where interventional pain management services provided (e.g. epidural block, spinal block and regional techniques), they are administered by clinical staff with evidence of ongoing and annual clinical competency and experience relevant to service being provided. </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0361CA" w:rsidRPr="00371A1D" w14:paraId="0E077156" w14:textId="77777777" w:rsidTr="00E45740">
            <w:tc>
              <w:tcPr>
                <w:tcW w:w="3598" w:type="dxa"/>
                <w:tcBorders>
                  <w:top w:val="single" w:sz="2" w:space="0" w:color="auto"/>
                  <w:left w:val="single" w:sz="12" w:space="0" w:color="auto"/>
                  <w:bottom w:val="single" w:sz="2" w:space="0" w:color="auto"/>
                  <w:right w:val="single" w:sz="2" w:space="0" w:color="auto"/>
                </w:tcBorders>
              </w:tcPr>
              <w:p w14:paraId="23072994" w14:textId="1124AF8B" w:rsidR="000361CA" w:rsidRPr="00286A71" w:rsidRDefault="00462EE9" w:rsidP="00286A71">
                <w:pPr>
                  <w:pStyle w:val="ListBullet"/>
                  <w:numPr>
                    <w:ilvl w:val="0"/>
                    <w:numId w:val="11"/>
                  </w:numPr>
                  <w:spacing w:after="0" w:line="240" w:lineRule="auto"/>
                  <w:rPr>
                    <w:sz w:val="19"/>
                    <w:szCs w:val="19"/>
                  </w:rPr>
                </w:pPr>
                <w:r w:rsidRPr="00286A71">
                  <w:rPr>
                    <w:sz w:val="19"/>
                    <w:szCs w:val="19"/>
                  </w:rPr>
                  <w:t>registered medical practitioner or nurse with extensive experience in acute pain management is in attendance for pain round.</w:t>
                </w:r>
              </w:p>
            </w:tc>
            <w:tc>
              <w:tcPr>
                <w:tcW w:w="1394" w:type="dxa"/>
                <w:tcBorders>
                  <w:top w:val="single" w:sz="2" w:space="0" w:color="auto"/>
                  <w:left w:val="single" w:sz="2" w:space="0" w:color="auto"/>
                  <w:bottom w:val="single" w:sz="2" w:space="0" w:color="auto"/>
                  <w:right w:val="single" w:sz="2" w:space="0" w:color="auto"/>
                </w:tcBorders>
              </w:tcPr>
              <w:p w14:paraId="64D2DDB1"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88FC1B8"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67C49C8B" w:rsidR="009E7E12" w:rsidRPr="00286A71" w:rsidRDefault="00286A71" w:rsidP="00286A71">
                <w:pPr>
                  <w:pStyle w:val="ListBullet"/>
                  <w:numPr>
                    <w:ilvl w:val="0"/>
                    <w:numId w:val="22"/>
                  </w:numPr>
                  <w:spacing w:after="0" w:line="240" w:lineRule="auto"/>
                  <w:ind w:hanging="357"/>
                  <w:rPr>
                    <w:sz w:val="19"/>
                    <w:szCs w:val="19"/>
                  </w:rPr>
                </w:pPr>
                <w:r w:rsidRPr="00286A71">
                  <w:rPr>
                    <w:sz w:val="19"/>
                    <w:szCs w:val="19"/>
                  </w:rPr>
                  <w:t xml:space="preserve">access to registered medical practitioners with credentials in anaesthetics who assist and guide assessment, treatment, case management and case review of </w:t>
                </w:r>
                <w:r w:rsidRPr="00286A71">
                  <w:rPr>
                    <w:sz w:val="19"/>
                    <w:szCs w:val="19"/>
                  </w:rPr>
                  <w:lastRenderedPageBreak/>
                  <w:t>patients requiring acute pain management.</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9E7E12" w:rsidRPr="00BF32A8" w:rsidRDefault="009E7E12" w:rsidP="00F35279">
                <w:pPr>
                  <w:spacing w:before="40" w:after="40" w:line="240" w:lineRule="auto"/>
                  <w:rPr>
                    <w:sz w:val="19"/>
                    <w:szCs w:val="19"/>
                  </w:rPr>
                </w:pPr>
              </w:p>
            </w:tc>
          </w:tr>
          <w:tr w:rsidR="000361CA"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3D8FE97B" w:rsidR="000361CA" w:rsidRPr="00286A71" w:rsidRDefault="00286A71" w:rsidP="00286A71">
                <w:pPr>
                  <w:pStyle w:val="ListBullet"/>
                  <w:numPr>
                    <w:ilvl w:val="0"/>
                    <w:numId w:val="22"/>
                  </w:numPr>
                  <w:spacing w:after="0" w:line="240" w:lineRule="auto"/>
                  <w:ind w:hanging="357"/>
                  <w:rPr>
                    <w:sz w:val="19"/>
                    <w:szCs w:val="19"/>
                  </w:rPr>
                </w:pPr>
                <w:r w:rsidRPr="00286A71">
                  <w:rPr>
                    <w:sz w:val="19"/>
                    <w:szCs w:val="19"/>
                  </w:rPr>
                  <w:t>Access-24 hour/s- to registered medical practitioner.</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0361CA" w:rsidRPr="00BF32A8" w:rsidRDefault="000361C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0361CA" w:rsidRPr="00BF32A8" w:rsidRDefault="000361CA" w:rsidP="00F35279">
                <w:pPr>
                  <w:spacing w:before="40" w:after="40" w:line="240" w:lineRule="auto"/>
                  <w:rPr>
                    <w:sz w:val="19"/>
                    <w:szCs w:val="19"/>
                  </w:rPr>
                </w:pPr>
              </w:p>
            </w:tc>
          </w:tr>
          <w:tr w:rsidR="000361CA" w:rsidRPr="00371A1D" w14:paraId="182F9244" w14:textId="77777777" w:rsidTr="00E45740">
            <w:tc>
              <w:tcPr>
                <w:tcW w:w="3598" w:type="dxa"/>
                <w:tcBorders>
                  <w:top w:val="single" w:sz="2" w:space="0" w:color="auto"/>
                  <w:left w:val="single" w:sz="12" w:space="0" w:color="auto"/>
                  <w:bottom w:val="single" w:sz="2" w:space="0" w:color="auto"/>
                  <w:right w:val="single" w:sz="2" w:space="0" w:color="auto"/>
                </w:tcBorders>
              </w:tcPr>
              <w:p w14:paraId="29F3B1E2" w14:textId="77777777" w:rsidR="00286A71" w:rsidRPr="00286A71" w:rsidRDefault="00286A71" w:rsidP="00286A71">
                <w:pPr>
                  <w:pStyle w:val="ListBullet"/>
                  <w:numPr>
                    <w:ilvl w:val="0"/>
                    <w:numId w:val="22"/>
                  </w:numPr>
                  <w:spacing w:after="0" w:line="240" w:lineRule="auto"/>
                  <w:ind w:hanging="357"/>
                  <w:rPr>
                    <w:sz w:val="19"/>
                    <w:szCs w:val="19"/>
                  </w:rPr>
                </w:pPr>
                <w:r w:rsidRPr="00286A71">
                  <w:rPr>
                    <w:sz w:val="19"/>
                    <w:szCs w:val="19"/>
                  </w:rPr>
                  <w:t xml:space="preserve">interventional pain management services (e.g. epidural block, spinal block and regional techniques), where provided, administered only by: </w:t>
                </w:r>
              </w:p>
              <w:p w14:paraId="04FBE57A" w14:textId="77777777" w:rsidR="00286A71" w:rsidRPr="00286A71" w:rsidRDefault="00286A71" w:rsidP="00286A71">
                <w:pPr>
                  <w:pStyle w:val="ListBullet"/>
                  <w:numPr>
                    <w:ilvl w:val="1"/>
                    <w:numId w:val="38"/>
                  </w:numPr>
                  <w:spacing w:after="0" w:line="240" w:lineRule="auto"/>
                  <w:ind w:left="731" w:hanging="357"/>
                  <w:rPr>
                    <w:sz w:val="19"/>
                    <w:szCs w:val="19"/>
                  </w:rPr>
                </w:pPr>
                <w:r w:rsidRPr="00286A71">
                  <w:rPr>
                    <w:sz w:val="19"/>
                    <w:szCs w:val="19"/>
                  </w:rPr>
                  <w:t>registered medical practitioners with training in anaesthesia or registered medical specialist with credentials in anaesthesia, and advanced knowledge and demonstrated clinical competency as indicated by satisfactory completion of clinical training and/or possession of Fellowship in Anaesthesia recognised by Australian and New Zealand College of Anaesthetists and Medical Board of Australia</w:t>
                </w:r>
              </w:p>
              <w:p w14:paraId="4E9F198A" w14:textId="77777777" w:rsidR="00286A71" w:rsidRPr="00286A71" w:rsidRDefault="00286A71" w:rsidP="00286A71">
                <w:pPr>
                  <w:pStyle w:val="ListBullet"/>
                  <w:numPr>
                    <w:ilvl w:val="1"/>
                    <w:numId w:val="38"/>
                  </w:numPr>
                  <w:spacing w:after="0" w:line="240" w:lineRule="auto"/>
                  <w:ind w:left="731" w:hanging="357"/>
                  <w:rPr>
                    <w:sz w:val="19"/>
                    <w:szCs w:val="19"/>
                  </w:rPr>
                </w:pPr>
                <w:r w:rsidRPr="00286A71">
                  <w:rPr>
                    <w:sz w:val="19"/>
                    <w:szCs w:val="19"/>
                  </w:rPr>
                  <w:t xml:space="preserve"> registered medical trainees under supervision of above medical staff</w:t>
                </w:r>
              </w:p>
              <w:p w14:paraId="7E838F2B" w14:textId="02EF0584" w:rsidR="000361CA" w:rsidRPr="00286A71" w:rsidRDefault="00286A71" w:rsidP="00286A71">
                <w:pPr>
                  <w:pStyle w:val="ListBullet"/>
                  <w:numPr>
                    <w:ilvl w:val="1"/>
                    <w:numId w:val="38"/>
                  </w:numPr>
                  <w:spacing w:after="0" w:line="240" w:lineRule="auto"/>
                  <w:ind w:left="731" w:hanging="357"/>
                  <w:rPr>
                    <w:sz w:val="19"/>
                    <w:szCs w:val="19"/>
                  </w:rPr>
                </w:pPr>
                <w:r w:rsidRPr="00286A71">
                  <w:rPr>
                    <w:sz w:val="19"/>
                    <w:szCs w:val="19"/>
                  </w:rPr>
                  <w:t>access to qualified registered medical practitioner with knowledge of acute pain management for consultation, advice and review of patients.</w:t>
                </w:r>
              </w:p>
            </w:tc>
            <w:tc>
              <w:tcPr>
                <w:tcW w:w="1394" w:type="dxa"/>
                <w:tcBorders>
                  <w:top w:val="single" w:sz="2" w:space="0" w:color="auto"/>
                  <w:left w:val="single" w:sz="2" w:space="0" w:color="auto"/>
                  <w:bottom w:val="single" w:sz="2" w:space="0" w:color="auto"/>
                  <w:right w:val="single" w:sz="2" w:space="0" w:color="auto"/>
                </w:tcBorders>
              </w:tcPr>
              <w:p w14:paraId="18185A90" w14:textId="77777777" w:rsidR="000361CA" w:rsidRPr="00BF32A8" w:rsidRDefault="000361C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56F630" w14:textId="77777777" w:rsidR="000361CA" w:rsidRPr="00BF32A8" w:rsidRDefault="000361CA"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3AAA1561" w:rsidR="00887948" w:rsidRPr="00286A71" w:rsidRDefault="00286A71" w:rsidP="00286A71">
                <w:pPr>
                  <w:pStyle w:val="ListBullet"/>
                  <w:numPr>
                    <w:ilvl w:val="0"/>
                    <w:numId w:val="23"/>
                  </w:numPr>
                  <w:spacing w:after="0" w:line="240" w:lineRule="auto"/>
                  <w:ind w:left="357" w:hanging="357"/>
                  <w:rPr>
                    <w:sz w:val="19"/>
                    <w:szCs w:val="19"/>
                  </w:rPr>
                </w:pPr>
                <w:r w:rsidRPr="00286A71">
                  <w:rPr>
                    <w:sz w:val="19"/>
                    <w:szCs w:val="19"/>
                  </w:rPr>
                  <w:t>registered nurse with extensive experience in acute pain management may coordinate the service.</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498B6ACF" w:rsidR="00887948" w:rsidRPr="00286A71" w:rsidRDefault="00286A71" w:rsidP="00286A71">
                <w:pPr>
                  <w:pStyle w:val="ListBullet"/>
                  <w:numPr>
                    <w:ilvl w:val="0"/>
                    <w:numId w:val="23"/>
                  </w:numPr>
                  <w:spacing w:after="0" w:line="240" w:lineRule="auto"/>
                  <w:ind w:left="357" w:hanging="357"/>
                  <w:rPr>
                    <w:sz w:val="19"/>
                    <w:szCs w:val="19"/>
                  </w:rPr>
                </w:pPr>
                <w:r w:rsidRPr="00286A71">
                  <w:rPr>
                    <w:sz w:val="19"/>
                    <w:szCs w:val="19"/>
                  </w:rPr>
                  <w:t xml:space="preserve">nursing staff with specialist expertise in acute pain management. </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887948" w:rsidRPr="00BF32A8" w:rsidRDefault="00294B2A"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4D1154"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35E0E685" w:rsidR="004D1154" w:rsidRPr="00286A71" w:rsidRDefault="00286A71" w:rsidP="00286A71">
                <w:pPr>
                  <w:pStyle w:val="ListBullet"/>
                  <w:numPr>
                    <w:ilvl w:val="0"/>
                    <w:numId w:val="23"/>
                  </w:numPr>
                  <w:spacing w:after="0" w:line="240" w:lineRule="auto"/>
                  <w:ind w:left="357" w:hanging="357"/>
                  <w:rPr>
                    <w:sz w:val="19"/>
                    <w:szCs w:val="19"/>
                  </w:rPr>
                </w:pPr>
                <w:r w:rsidRPr="00286A71">
                  <w:rPr>
                    <w:sz w:val="19"/>
                    <w:szCs w:val="19"/>
                  </w:rPr>
                  <w:t>at least one nursing staff member accessible for pain rounds, as required</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4D1154" w:rsidRPr="00BF32A8" w:rsidRDefault="004D115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4D1154" w:rsidRPr="00BF32A8" w:rsidRDefault="004D1154" w:rsidP="00887948">
                <w:pPr>
                  <w:spacing w:before="40" w:after="40" w:line="240" w:lineRule="auto"/>
                  <w:rPr>
                    <w:color w:val="006D35" w:themeColor="accent6" w:themeShade="BF"/>
                    <w:sz w:val="19"/>
                    <w:szCs w:val="19"/>
                  </w:rPr>
                </w:pPr>
              </w:p>
            </w:tc>
          </w:tr>
          <w:tr w:rsidR="00C2223C"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7179D150" w:rsidR="00C2223C" w:rsidRPr="00294B2A" w:rsidRDefault="00286A71" w:rsidP="00887948">
                <w:pPr>
                  <w:spacing w:before="40" w:after="40" w:line="240" w:lineRule="auto"/>
                  <w:rPr>
                    <w:color w:val="auto"/>
                    <w:sz w:val="19"/>
                    <w:szCs w:val="19"/>
                  </w:rPr>
                </w:pPr>
                <w:r>
                  <w:rPr>
                    <w:color w:val="0F5CA2" w:themeColor="accent1"/>
                    <w:kern w:val="21"/>
                    <w:sz w:val="19"/>
                    <w:szCs w:val="19"/>
                    <w14:numSpacing w14:val="proportional"/>
                  </w:rPr>
                  <w:t>Allied Health</w:t>
                </w:r>
              </w:p>
            </w:tc>
          </w:tr>
          <w:tr w:rsidR="00887948"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7ED69EE5" w:rsidR="00887948" w:rsidRPr="00286A71" w:rsidRDefault="00286A71" w:rsidP="00286A71">
                <w:pPr>
                  <w:pStyle w:val="ListBullet"/>
                  <w:numPr>
                    <w:ilvl w:val="0"/>
                    <w:numId w:val="23"/>
                  </w:numPr>
                  <w:spacing w:after="0" w:line="240" w:lineRule="auto"/>
                  <w:rPr>
                    <w:sz w:val="19"/>
                    <w:szCs w:val="19"/>
                  </w:rPr>
                </w:pPr>
                <w:r w:rsidRPr="00286A71">
                  <w:rPr>
                    <w:sz w:val="19"/>
                    <w:szCs w:val="19"/>
                  </w:rPr>
                  <w:t>access to allied health professionals, who may include physiotherapy, social work, occupational therapy, psychology, speech pathology or other disciplines, as required.</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887948" w:rsidRPr="00294B2A" w:rsidRDefault="00887948" w:rsidP="00887948">
                <w:pPr>
                  <w:spacing w:before="40" w:after="40" w:line="240" w:lineRule="auto"/>
                  <w:rPr>
                    <w:color w:val="auto"/>
                    <w:sz w:val="19"/>
                    <w:szCs w:val="19"/>
                  </w:rPr>
                </w:pPr>
              </w:p>
            </w:tc>
          </w:tr>
          <w:tr w:rsidR="00887948" w:rsidRPr="00371A1D" w14:paraId="273252EA" w14:textId="77777777" w:rsidTr="00E45740">
            <w:tc>
              <w:tcPr>
                <w:tcW w:w="3598" w:type="dxa"/>
                <w:tcBorders>
                  <w:top w:val="single" w:sz="2" w:space="0" w:color="auto"/>
                  <w:left w:val="single" w:sz="12" w:space="0" w:color="auto"/>
                  <w:bottom w:val="single" w:sz="2" w:space="0" w:color="auto"/>
                  <w:right w:val="single" w:sz="2" w:space="0" w:color="auto"/>
                </w:tcBorders>
              </w:tcPr>
              <w:p w14:paraId="57A89FBA" w14:textId="1F5A374E" w:rsidR="00887948" w:rsidRPr="00286A71" w:rsidRDefault="00286A71" w:rsidP="00286A71">
                <w:pPr>
                  <w:pStyle w:val="ListParagraph"/>
                  <w:numPr>
                    <w:ilvl w:val="0"/>
                    <w:numId w:val="13"/>
                  </w:numPr>
                  <w:spacing w:before="0" w:after="0" w:line="240" w:lineRule="auto"/>
                  <w:ind w:left="357" w:hanging="357"/>
                  <w:rPr>
                    <w:rFonts w:cstheme="minorHAnsi"/>
                    <w:b/>
                    <w:bCs/>
                    <w:i/>
                    <w:iCs/>
                    <w:sz w:val="19"/>
                    <w:szCs w:val="19"/>
                    <w:lang w:eastAsia="en-AU"/>
                  </w:rPr>
                </w:pPr>
                <w:r w:rsidRPr="00286A71">
                  <w:rPr>
                    <w:sz w:val="19"/>
                    <w:szCs w:val="19"/>
                  </w:rPr>
                  <w:lastRenderedPageBreak/>
                  <w:t>access to a clinical pharmacist for ongoing advice and support of staff</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B0482DA"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1CCEB1" w14:textId="63C0591B" w:rsidR="00887948" w:rsidRPr="00294B2A" w:rsidRDefault="00887948" w:rsidP="00887948">
                <w:pPr>
                  <w:spacing w:before="40" w:after="40" w:line="240" w:lineRule="auto"/>
                  <w:rPr>
                    <w:color w:val="auto"/>
                    <w:sz w:val="19"/>
                    <w:szCs w:val="19"/>
                  </w:rPr>
                </w:pPr>
              </w:p>
            </w:tc>
          </w:tr>
          <w:tr w:rsidR="00C2223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C2223C" w:rsidRPr="00294B2A" w:rsidRDefault="00C2223C" w:rsidP="00887948">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C2223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C2223C" w:rsidRPr="00705D8C" w:rsidRDefault="0028109D" w:rsidP="00705D8C">
                <w:pPr>
                  <w:pStyle w:val="ListParagraph"/>
                  <w:numPr>
                    <w:ilvl w:val="0"/>
                    <w:numId w:val="23"/>
                  </w:numPr>
                  <w:spacing w:before="40" w:after="40"/>
                  <w:rPr>
                    <w:rStyle w:val="ClearCharacter"/>
                    <w:sz w:val="19"/>
                    <w:szCs w:val="19"/>
                  </w:rPr>
                </w:pPr>
                <w:r>
                  <w:rPr>
                    <w:rStyle w:val="ClearCharacter"/>
                    <w:sz w:val="19"/>
                    <w:szCs w:val="19"/>
                  </w:rPr>
                  <w:t>n</w:t>
                </w:r>
                <w:r w:rsidR="00705D8C"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C2223C" w:rsidRPr="00BF32A8" w:rsidRDefault="00C2223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C2223C" w:rsidRPr="00294B2A" w:rsidRDefault="00C2223C" w:rsidP="00887948">
                <w:pPr>
                  <w:spacing w:before="40" w:after="40" w:line="240" w:lineRule="auto"/>
                  <w:rPr>
                    <w:color w:val="auto"/>
                    <w:sz w:val="19"/>
                    <w:szCs w:val="19"/>
                  </w:rPr>
                </w:pPr>
              </w:p>
            </w:tc>
          </w:tr>
          <w:tr w:rsidR="00BF32A8"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BF32A8" w:rsidRPr="0028109D" w:rsidRDefault="00887948" w:rsidP="0028109D">
                <w:pPr>
                  <w:spacing w:before="40" w:after="40"/>
                  <w:rPr>
                    <w:rFonts w:cstheme="minorHAnsi"/>
                    <w:b/>
                    <w:bCs/>
                    <w:i/>
                    <w:iCs/>
                    <w:color w:val="0F59A0"/>
                    <w:kern w:val="21"/>
                    <w:sz w:val="19"/>
                    <w:szCs w:val="19"/>
                    <w:lang w:val="en-AU" w:eastAsia="en-AU"/>
                    <w14:numSpacing w14:val="proportional"/>
                  </w:rPr>
                </w:pPr>
                <w:r>
                  <w:br w:type="page"/>
                </w:r>
                <w:r w:rsidR="00BF32A8" w:rsidRPr="00BF32A8">
                  <w:rPr>
                    <w:rFonts w:cstheme="minorHAnsi"/>
                    <w:b/>
                    <w:bCs/>
                    <w:i/>
                    <w:iCs/>
                    <w:color w:val="0F59A0"/>
                    <w:kern w:val="21"/>
                    <w:sz w:val="19"/>
                    <w:szCs w:val="19"/>
                    <w:lang w:val="en-AU" w:eastAsia="en-AU"/>
                    <w14:numSpacing w14:val="proportional"/>
                  </w:rPr>
                  <w:t>Support services:</w:t>
                </w:r>
              </w:p>
            </w:tc>
          </w:tr>
          <w:tr w:rsidR="00294B2A"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294B2A" w:rsidRPr="004816BA" w:rsidRDefault="00294B2A" w:rsidP="004816BA">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On-site</w:t>
                </w:r>
                <w:r w:rsidR="0067798A" w:rsidRPr="004816BA">
                  <w:rPr>
                    <w:rFonts w:ascii="Fira Sans" w:hAnsi="Fira Sans" w:cstheme="minorHAnsi"/>
                    <w:color w:val="0F59A0"/>
                    <w:sz w:val="19"/>
                    <w:szCs w:val="19"/>
                  </w:rPr>
                  <w:t xml:space="preserve">: </w:t>
                </w:r>
              </w:p>
              <w:p w14:paraId="196F5627" w14:textId="516CDEF4" w:rsidR="00FD7D95" w:rsidRPr="004816BA" w:rsidRDefault="00FD7D95" w:rsidP="00FD7D95">
                <w:pPr>
                  <w:pStyle w:val="ListBullet"/>
                  <w:spacing w:after="0" w:line="240" w:lineRule="auto"/>
                  <w:rPr>
                    <w:sz w:val="19"/>
                    <w:szCs w:val="19"/>
                  </w:rPr>
                </w:pPr>
                <w:r w:rsidRPr="004816BA">
                  <w:rPr>
                    <w:sz w:val="19"/>
                    <w:szCs w:val="19"/>
                  </w:rPr>
                  <w:t xml:space="preserve">Level </w:t>
                </w:r>
                <w:r w:rsidR="00286A71">
                  <w:rPr>
                    <w:sz w:val="19"/>
                    <w:szCs w:val="19"/>
                  </w:rPr>
                  <w:t>4</w:t>
                </w:r>
                <w:r w:rsidRPr="004816BA">
                  <w:rPr>
                    <w:sz w:val="19"/>
                    <w:szCs w:val="19"/>
                  </w:rPr>
                  <w:t xml:space="preserve"> – Anaesthetic</w:t>
                </w:r>
              </w:p>
              <w:p w14:paraId="3E097B00" w14:textId="2D6A03E8" w:rsidR="0028109D" w:rsidRPr="00286A71" w:rsidRDefault="004816BA" w:rsidP="00286A71">
                <w:pPr>
                  <w:pStyle w:val="ListBullet"/>
                  <w:spacing w:after="0" w:line="240" w:lineRule="auto"/>
                  <w:rPr>
                    <w:sz w:val="19"/>
                    <w:szCs w:val="19"/>
                  </w:rPr>
                </w:pPr>
                <w:r w:rsidRPr="004816BA">
                  <w:rPr>
                    <w:sz w:val="19"/>
                    <w:szCs w:val="19"/>
                  </w:rPr>
                  <w:t xml:space="preserve">Level </w:t>
                </w:r>
                <w:r w:rsidR="00FD7D95">
                  <w:rPr>
                    <w:sz w:val="19"/>
                    <w:szCs w:val="19"/>
                  </w:rPr>
                  <w:t>5</w:t>
                </w:r>
                <w:r w:rsidRPr="004816BA">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294B2A" w:rsidRPr="00BF32A8" w:rsidRDefault="00294B2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294B2A" w:rsidRPr="00BF32A8" w:rsidRDefault="00294B2A" w:rsidP="00F35279">
                <w:pPr>
                  <w:spacing w:before="40" w:after="40" w:line="240" w:lineRule="auto"/>
                  <w:rPr>
                    <w:sz w:val="19"/>
                    <w:szCs w:val="19"/>
                  </w:rPr>
                </w:pPr>
              </w:p>
            </w:tc>
          </w:tr>
          <w:tr w:rsidR="00BF32A8"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BF32A8" w:rsidRPr="004816BA" w:rsidRDefault="00BF32A8" w:rsidP="004816BA">
                <w:pPr>
                  <w:spacing w:line="240" w:lineRule="auto"/>
                  <w:rPr>
                    <w:color w:val="0F5CA2" w:themeColor="accent1"/>
                    <w:sz w:val="19"/>
                    <w:szCs w:val="19"/>
                  </w:rPr>
                </w:pPr>
                <w:r w:rsidRPr="004816BA">
                  <w:rPr>
                    <w:color w:val="0F5CA2" w:themeColor="accent1"/>
                    <w:sz w:val="19"/>
                    <w:szCs w:val="19"/>
                  </w:rPr>
                  <w:t>Access to:</w:t>
                </w:r>
              </w:p>
              <w:p w14:paraId="1D5D28F5" w14:textId="77777777" w:rsidR="00286A71" w:rsidRDefault="00705D8C" w:rsidP="004816BA">
                <w:pPr>
                  <w:pStyle w:val="ListBullet"/>
                  <w:spacing w:after="0" w:line="240" w:lineRule="auto"/>
                  <w:rPr>
                    <w:sz w:val="19"/>
                    <w:szCs w:val="19"/>
                  </w:rPr>
                </w:pPr>
                <w:r w:rsidRPr="004816BA">
                  <w:rPr>
                    <w:sz w:val="19"/>
                    <w:szCs w:val="19"/>
                  </w:rPr>
                  <w:t xml:space="preserve">Level </w:t>
                </w:r>
                <w:r w:rsidR="00286A71">
                  <w:rPr>
                    <w:sz w:val="19"/>
                    <w:szCs w:val="19"/>
                  </w:rPr>
                  <w:t>4</w:t>
                </w:r>
                <w:r w:rsidRPr="004816BA">
                  <w:rPr>
                    <w:sz w:val="19"/>
                    <w:szCs w:val="19"/>
                  </w:rPr>
                  <w:t xml:space="preserve"> – </w:t>
                </w:r>
                <w:r w:rsidR="00286A71">
                  <w:rPr>
                    <w:sz w:val="19"/>
                    <w:szCs w:val="19"/>
                  </w:rPr>
                  <w:t>Medical imaging</w:t>
                </w:r>
              </w:p>
              <w:p w14:paraId="1717B7C7" w14:textId="7BD1EBA5" w:rsidR="00705D8C" w:rsidRPr="004816BA" w:rsidRDefault="00286A71" w:rsidP="004816BA">
                <w:pPr>
                  <w:pStyle w:val="ListBullet"/>
                  <w:spacing w:after="0" w:line="240" w:lineRule="auto"/>
                  <w:rPr>
                    <w:sz w:val="19"/>
                    <w:szCs w:val="19"/>
                  </w:rPr>
                </w:pPr>
                <w:r>
                  <w:rPr>
                    <w:sz w:val="19"/>
                    <w:szCs w:val="19"/>
                  </w:rPr>
                  <w:t>Level 4 - Pathology</w:t>
                </w:r>
                <w:r w:rsidR="0028109D" w:rsidRPr="004816BA">
                  <w:rPr>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BF32A8" w:rsidRPr="00BF32A8" w:rsidRDefault="00BF32A8"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BF32A8" w:rsidRPr="00BF32A8" w:rsidRDefault="00BF32A8" w:rsidP="00F35279">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286A71"/>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286A71"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286A71">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286A71">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286A71">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B634D7"/>
    <w:multiLevelType w:val="hybridMultilevel"/>
    <w:tmpl w:val="22546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013AE"/>
    <w:multiLevelType w:val="hybridMultilevel"/>
    <w:tmpl w:val="C12C2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A012CB2"/>
    <w:multiLevelType w:val="hybridMultilevel"/>
    <w:tmpl w:val="E1D6658C"/>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1F40A6"/>
    <w:multiLevelType w:val="hybridMultilevel"/>
    <w:tmpl w:val="94CA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831BB6"/>
    <w:multiLevelType w:val="hybridMultilevel"/>
    <w:tmpl w:val="F1947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1477F4"/>
    <w:multiLevelType w:val="hybridMultilevel"/>
    <w:tmpl w:val="5CEAD976"/>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94328"/>
    <w:multiLevelType w:val="multilevel"/>
    <w:tmpl w:val="C2FE460C"/>
    <w:numStyleLink w:val="Bullets"/>
  </w:abstractNum>
  <w:abstractNum w:abstractNumId="20"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E4331B3"/>
    <w:multiLevelType w:val="hybridMultilevel"/>
    <w:tmpl w:val="34061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3"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80FCC"/>
    <w:multiLevelType w:val="hybridMultilevel"/>
    <w:tmpl w:val="744E4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0"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B6C4BBE"/>
    <w:multiLevelType w:val="hybridMultilevel"/>
    <w:tmpl w:val="EA2E9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8314B"/>
    <w:multiLevelType w:val="hybridMultilevel"/>
    <w:tmpl w:val="9288D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AF1777"/>
    <w:multiLevelType w:val="hybridMultilevel"/>
    <w:tmpl w:val="E75A1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8E03AA"/>
    <w:multiLevelType w:val="hybridMultilevel"/>
    <w:tmpl w:val="BB2C24B4"/>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7"/>
  </w:num>
  <w:num w:numId="4">
    <w:abstractNumId w:val="11"/>
  </w:num>
  <w:num w:numId="5">
    <w:abstractNumId w:val="22"/>
  </w:num>
  <w:num w:numId="6">
    <w:abstractNumId w:val="19"/>
  </w:num>
  <w:num w:numId="7">
    <w:abstractNumId w:val="6"/>
  </w:num>
  <w:num w:numId="8">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num>
  <w:num w:numId="11">
    <w:abstractNumId w:val="26"/>
  </w:num>
  <w:num w:numId="12">
    <w:abstractNumId w:val="28"/>
  </w:num>
  <w:num w:numId="13">
    <w:abstractNumId w:val="20"/>
  </w:num>
  <w:num w:numId="14">
    <w:abstractNumId w:val="9"/>
  </w:num>
  <w:num w:numId="15">
    <w:abstractNumId w:val="31"/>
  </w:num>
  <w:num w:numId="16">
    <w:abstractNumId w:val="27"/>
  </w:num>
  <w:num w:numId="17">
    <w:abstractNumId w:val="2"/>
  </w:num>
  <w:num w:numId="18">
    <w:abstractNumId w:val="1"/>
  </w:num>
  <w:num w:numId="19">
    <w:abstractNumId w:val="30"/>
  </w:num>
  <w:num w:numId="20">
    <w:abstractNumId w:val="23"/>
  </w:num>
  <w:num w:numId="21">
    <w:abstractNumId w:val="24"/>
  </w:num>
  <w:num w:numId="22">
    <w:abstractNumId w:val="5"/>
  </w:num>
  <w:num w:numId="23">
    <w:abstractNumId w:val="14"/>
  </w:num>
  <w:num w:numId="24">
    <w:abstractNumId w:val="33"/>
  </w:num>
  <w:num w:numId="25">
    <w:abstractNumId w:val="8"/>
  </w:num>
  <w:num w:numId="26">
    <w:abstractNumId w:val="13"/>
  </w:num>
  <w:num w:numId="27">
    <w:abstractNumId w:val="3"/>
  </w:num>
  <w:num w:numId="28">
    <w:abstractNumId w:val="36"/>
  </w:num>
  <w:num w:numId="29">
    <w:abstractNumId w:val="7"/>
  </w:num>
  <w:num w:numId="30">
    <w:abstractNumId w:val="15"/>
  </w:num>
  <w:num w:numId="31">
    <w:abstractNumId w:val="18"/>
  </w:num>
  <w:num w:numId="32">
    <w:abstractNumId w:val="35"/>
  </w:num>
  <w:num w:numId="33">
    <w:abstractNumId w:val="21"/>
  </w:num>
  <w:num w:numId="34">
    <w:abstractNumId w:val="25"/>
  </w:num>
  <w:num w:numId="35">
    <w:abstractNumId w:val="34"/>
  </w:num>
  <w:num w:numId="36">
    <w:abstractNumId w:val="16"/>
  </w:num>
  <w:num w:numId="37">
    <w:abstractNumId w:val="32"/>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4D2A"/>
    <w:rsid w:val="006D7458"/>
    <w:rsid w:val="006F0A87"/>
    <w:rsid w:val="006F77E7"/>
    <w:rsid w:val="00705D8C"/>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0" ma:contentTypeDescription="Create a new document." ma:contentTypeScope="" ma:versionID="75efae26202611d8a1789930186f60a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954EAD13-0E83-4363-9675-C90DDEF37B43}"/>
</file>

<file path=customXml/itemProps5.xml><?xml version="1.0" encoding="utf-8"?>
<ds:datastoreItem xmlns:ds="http://schemas.openxmlformats.org/officeDocument/2006/customXml" ds:itemID="{EB0B178A-AB82-44F4-8623-5DFBC146F989}"/>
</file>

<file path=customXml/itemProps6.xml><?xml version="1.0" encoding="utf-8"?>
<ds:datastoreItem xmlns:ds="http://schemas.openxmlformats.org/officeDocument/2006/customXml" ds:itemID="{B26CBC35-0CD6-4965-A9BB-08DFF1CD149A}"/>
</file>

<file path=docProps/app.xml><?xml version="1.0" encoding="utf-8"?>
<Properties xmlns="http://schemas.openxmlformats.org/officeDocument/2006/extended-properties" xmlns:vt="http://schemas.openxmlformats.org/officeDocument/2006/docPropsVTypes">
  <Template>QH A4 Portrait Word Template</Template>
  <TotalTime>9</TotalTime>
  <Pages>4</Pages>
  <Words>603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4</cp:revision>
  <dcterms:created xsi:type="dcterms:W3CDTF">2022-02-28T06:57:00Z</dcterms:created>
  <dcterms:modified xsi:type="dcterms:W3CDTF">2022-02-28T07:08:00Z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