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95DC" w14:textId="77777777" w:rsidR="0062031D" w:rsidRPr="00232C5A" w:rsidRDefault="0062031D" w:rsidP="00526121">
      <w:pPr>
        <w:pStyle w:val="Heading2"/>
        <w:spacing w:before="0"/>
      </w:pPr>
      <w:bookmarkStart w:id="0" w:name="_Toc25233917"/>
      <w:bookmarkStart w:id="1" w:name="_Toc25234092"/>
      <w:bookmarkStart w:id="2" w:name="_Toc39586638"/>
      <w:r>
        <w:t xml:space="preserve">Step 1-D: </w:t>
      </w:r>
      <w:bookmarkStart w:id="3" w:name="_GoBack"/>
      <w:r w:rsidRPr="00232C5A">
        <w:t>Environmental scan report</w:t>
      </w:r>
      <w:bookmarkEnd w:id="0"/>
      <w:bookmarkEnd w:id="1"/>
      <w:bookmarkEnd w:id="2"/>
    </w:p>
    <w:bookmarkEnd w:id="3"/>
    <w:p w14:paraId="7ED29FB1" w14:textId="77777777" w:rsidR="00FA243B" w:rsidRDefault="00FA243B" w:rsidP="00526121">
      <w:pPr>
        <w:autoSpaceDE w:val="0"/>
        <w:autoSpaceDN w:val="0"/>
        <w:adjustRightInd w:val="0"/>
        <w:spacing w:line="221" w:lineRule="atLeast"/>
        <w:rPr>
          <w:rFonts w:cs="Arial"/>
        </w:rPr>
        <w:sectPr w:rsidR="00FA243B" w:rsidSect="0052612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31" w:right="1133" w:bottom="1531" w:left="1134" w:header="709" w:footer="709" w:gutter="0"/>
          <w:cols w:space="708"/>
          <w:docGrid w:linePitch="360"/>
        </w:sectPr>
      </w:pPr>
    </w:p>
    <w:p w14:paraId="2BE01FDB" w14:textId="77777777" w:rsidR="00C17F14" w:rsidRDefault="00C17F14" w:rsidP="00C17F14">
      <w:r>
        <w:t>This environmental scan report uses the SWOT (Strengths, Weaknesses, Opportunities and Threats) format to consider both internal and external influences on the organisation, currently and into the future. Complete the SWOT analysis using the template below.</w:t>
      </w:r>
    </w:p>
    <w:p w14:paraId="5032EFD2" w14:textId="77777777" w:rsidR="00C17F14" w:rsidRDefault="00C17F14" w:rsidP="00C17F14">
      <w:pPr>
        <w:rPr>
          <w:rFonts w:eastAsia="Times New Roman"/>
          <w:lang w:eastAsia="en-AU"/>
        </w:rPr>
      </w:pPr>
      <w:r>
        <w:rPr>
          <w:rFonts w:eastAsia="Times New Roman"/>
          <w:lang w:eastAsia="en-AU"/>
        </w:rPr>
        <w:t xml:space="preserve">When considering the organisation’s </w:t>
      </w:r>
      <w:r w:rsidRPr="00301817">
        <w:rPr>
          <w:rFonts w:eastAsia="Times New Roman"/>
          <w:b/>
          <w:lang w:eastAsia="en-AU"/>
        </w:rPr>
        <w:t>strengths and weaknesses</w:t>
      </w:r>
      <w:r>
        <w:rPr>
          <w:rFonts w:eastAsia="Times New Roman"/>
          <w:lang w:eastAsia="en-AU"/>
        </w:rPr>
        <w:t>, focus mostly on internal factors which are can be identified currently. Consider factor</w:t>
      </w:r>
      <w:r w:rsidRPr="008D623B">
        <w:rPr>
          <w:rFonts w:eastAsia="Times New Roman"/>
          <w:lang w:eastAsia="en-AU"/>
        </w:rPr>
        <w:t>s such as:</w:t>
      </w:r>
    </w:p>
    <w:p w14:paraId="4D272E45"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Infrastructure, resources</w:t>
      </w:r>
    </w:p>
    <w:p w14:paraId="7326E4E1"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Service capacity and service models</w:t>
      </w:r>
    </w:p>
    <w:p w14:paraId="36278772"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Service quality, standards and reputation</w:t>
      </w:r>
    </w:p>
    <w:p w14:paraId="2583F60F"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Research and development</w:t>
      </w:r>
    </w:p>
    <w:p w14:paraId="52836887"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Workforce c</w:t>
      </w:r>
      <w:r w:rsidRPr="008D623B">
        <w:rPr>
          <w:rFonts w:eastAsia="Times New Roman"/>
          <w:lang w:eastAsia="en-AU"/>
        </w:rPr>
        <w:t>apability (Lead</w:t>
      </w:r>
      <w:r>
        <w:rPr>
          <w:rFonts w:eastAsia="Times New Roman"/>
          <w:lang w:eastAsia="en-AU"/>
        </w:rPr>
        <w:t>ership, technology, engagement, skills availability)</w:t>
      </w:r>
    </w:p>
    <w:p w14:paraId="164DDD09"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Workforce culture, design, performance and wellbeing</w:t>
      </w:r>
    </w:p>
    <w:p w14:paraId="44255B84"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Workforce design</w:t>
      </w:r>
    </w:p>
    <w:p w14:paraId="6834A819" w14:textId="77777777" w:rsidR="00C17F14" w:rsidRDefault="00C17F14" w:rsidP="00C17F14">
      <w:pPr>
        <w:spacing w:line="240" w:lineRule="auto"/>
      </w:pPr>
    </w:p>
    <w:p w14:paraId="4721BC6B" w14:textId="77777777" w:rsidR="00C17F14" w:rsidRDefault="00C17F14" w:rsidP="00C17F14">
      <w:r>
        <w:t xml:space="preserve">When considering the </w:t>
      </w:r>
      <w:r w:rsidRPr="00301817">
        <w:rPr>
          <w:b/>
        </w:rPr>
        <w:t>opportunities and threats</w:t>
      </w:r>
      <w:r>
        <w:t xml:space="preserve"> to the organisation, focus mostly on external factors, which may emerge in the future. Consider factors such as:</w:t>
      </w:r>
    </w:p>
    <w:p w14:paraId="74463FF1"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Influences identified in PESTLE analysis</w:t>
      </w:r>
    </w:p>
    <w:p w14:paraId="460FF00B" w14:textId="77777777" w:rsidR="00C17F14" w:rsidRDefault="00C17F14" w:rsidP="003461A3">
      <w:pPr>
        <w:pStyle w:val="ListParagraph"/>
        <w:numPr>
          <w:ilvl w:val="0"/>
          <w:numId w:val="10"/>
        </w:numPr>
        <w:tabs>
          <w:tab w:val="left" w:pos="2835"/>
        </w:tabs>
        <w:spacing w:before="0" w:after="0" w:line="240" w:lineRule="auto"/>
        <w:contextualSpacing w:val="0"/>
        <w:textboxTightWrap w:val="none"/>
        <w:rPr>
          <w:rFonts w:eastAsia="Times New Roman"/>
          <w:lang w:eastAsia="en-AU"/>
        </w:rPr>
      </w:pPr>
      <w:r>
        <w:rPr>
          <w:rFonts w:eastAsia="Times New Roman"/>
          <w:lang w:eastAsia="en-AU"/>
        </w:rPr>
        <w:t>Consultation, engagement and partnerships</w:t>
      </w:r>
    </w:p>
    <w:p w14:paraId="6C78BA9F" w14:textId="77777777" w:rsidR="00C17F14" w:rsidRPr="00B86DF2" w:rsidRDefault="00C17F14" w:rsidP="003461A3">
      <w:pPr>
        <w:pStyle w:val="ListParagraph"/>
        <w:numPr>
          <w:ilvl w:val="0"/>
          <w:numId w:val="10"/>
        </w:numPr>
        <w:tabs>
          <w:tab w:val="left" w:pos="2835"/>
        </w:tabs>
        <w:spacing w:before="0" w:after="0" w:line="240" w:lineRule="auto"/>
        <w:contextualSpacing w:val="0"/>
        <w:textboxTightWrap w:val="none"/>
        <w:rPr>
          <w:lang w:val="en-GB" w:eastAsia="en-AU"/>
        </w:rPr>
      </w:pPr>
      <w:r w:rsidRPr="00B86DF2">
        <w:rPr>
          <w:rFonts w:eastAsia="Times New Roman"/>
          <w:lang w:eastAsia="en-AU"/>
        </w:rPr>
        <w:t>Innovation and future-focussed, emerging initiatives</w:t>
      </w:r>
    </w:p>
    <w:p w14:paraId="6E9C63CA" w14:textId="77777777" w:rsidR="00C17F14" w:rsidRPr="00B86DF2" w:rsidRDefault="00C17F14" w:rsidP="00C17F14">
      <w:pPr>
        <w:spacing w:line="240" w:lineRule="auto"/>
        <w:rPr>
          <w:lang w:val="en-GB" w:eastAsia="en-AU"/>
        </w:rPr>
      </w:pPr>
    </w:p>
    <w:tbl>
      <w:tblPr>
        <w:tblStyle w:val="TableGrid"/>
        <w:tblW w:w="9920" w:type="dxa"/>
        <w:tblInd w:w="-6"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4676"/>
        <w:gridCol w:w="750"/>
        <w:gridCol w:w="4494"/>
      </w:tblGrid>
      <w:tr w:rsidR="00C17F14" w:rsidRPr="008D25A9" w14:paraId="72109E72" w14:textId="77777777" w:rsidTr="00C17F14">
        <w:tc>
          <w:tcPr>
            <w:tcW w:w="4676" w:type="dxa"/>
            <w:tcBorders>
              <w:top w:val="single" w:sz="8" w:space="0" w:color="B2B7B7" w:themeColor="background2" w:themeShade="BF"/>
              <w:left w:val="single" w:sz="18" w:space="0" w:color="0F59A0"/>
              <w:bottom w:val="single" w:sz="6" w:space="0" w:color="B2B7B7" w:themeColor="background2" w:themeShade="BF"/>
              <w:right w:val="single" w:sz="18" w:space="0" w:color="0F59A0"/>
            </w:tcBorders>
            <w:shd w:val="clear" w:color="auto" w:fill="0F59A0"/>
            <w:vAlign w:val="center"/>
          </w:tcPr>
          <w:p w14:paraId="00AD2A4F" w14:textId="77777777" w:rsidR="00C17F14" w:rsidRPr="008D25A9" w:rsidRDefault="00C17F14" w:rsidP="00C17F14">
            <w:pPr>
              <w:spacing w:line="240" w:lineRule="auto"/>
              <w:jc w:val="center"/>
              <w:rPr>
                <w:rFonts w:asciiTheme="minorHAnsi" w:hAnsiTheme="minorHAnsi" w:cstheme="minorHAnsi"/>
                <w:b/>
                <w:color w:val="FFFFFF" w:themeColor="background1"/>
                <w:sz w:val="28"/>
                <w:szCs w:val="28"/>
                <w:lang w:eastAsia="en-AU"/>
              </w:rPr>
            </w:pPr>
            <w:r w:rsidRPr="008D25A9">
              <w:rPr>
                <w:rFonts w:asciiTheme="minorHAnsi" w:hAnsiTheme="minorHAnsi" w:cstheme="minorHAnsi"/>
                <w:b/>
                <w:color w:val="FFFFFF" w:themeColor="background1"/>
                <w:sz w:val="28"/>
                <w:szCs w:val="28"/>
                <w:lang w:eastAsia="en-AU"/>
              </w:rPr>
              <w:t>STRENGTHS</w:t>
            </w:r>
          </w:p>
        </w:tc>
        <w:tc>
          <w:tcPr>
            <w:tcW w:w="750" w:type="dxa"/>
            <w:tcBorders>
              <w:top w:val="single" w:sz="8" w:space="0" w:color="B2B7B7" w:themeColor="background2" w:themeShade="BF"/>
              <w:left w:val="single" w:sz="18" w:space="0" w:color="0F59A0"/>
              <w:right w:val="single" w:sz="18" w:space="0" w:color="0F59A0"/>
            </w:tcBorders>
            <w:shd w:val="pct10" w:color="auto" w:fill="auto"/>
            <w:vAlign w:val="center"/>
          </w:tcPr>
          <w:p w14:paraId="0E3CB7CC" w14:textId="77777777" w:rsidR="00C17F14" w:rsidRPr="008D25A9" w:rsidRDefault="00C17F14" w:rsidP="00C17F14">
            <w:pPr>
              <w:spacing w:line="240" w:lineRule="auto"/>
              <w:jc w:val="center"/>
              <w:rPr>
                <w:rFonts w:asciiTheme="minorHAnsi" w:hAnsiTheme="minorHAnsi" w:cstheme="minorHAnsi"/>
                <w:i/>
                <w:sz w:val="16"/>
                <w:szCs w:val="16"/>
                <w:lang w:eastAsia="en-AU"/>
              </w:rPr>
            </w:pPr>
            <w:r w:rsidRPr="008D25A9">
              <w:rPr>
                <w:rFonts w:asciiTheme="minorHAnsi" w:hAnsiTheme="minorHAnsi" w:cstheme="minorHAnsi"/>
                <w:i/>
                <w:sz w:val="16"/>
                <w:szCs w:val="16"/>
                <w:lang w:eastAsia="en-AU"/>
              </w:rPr>
              <w:t>Current focus</w:t>
            </w:r>
          </w:p>
        </w:tc>
        <w:tc>
          <w:tcPr>
            <w:tcW w:w="4494" w:type="dxa"/>
            <w:tcBorders>
              <w:top w:val="single" w:sz="8" w:space="0" w:color="B2B7B7" w:themeColor="background2" w:themeShade="BF"/>
              <w:left w:val="single" w:sz="18" w:space="0" w:color="0F59A0"/>
              <w:bottom w:val="single" w:sz="6" w:space="0" w:color="B2B7B7" w:themeColor="background2" w:themeShade="BF"/>
              <w:right w:val="single" w:sz="18" w:space="0" w:color="0F59A0"/>
            </w:tcBorders>
            <w:shd w:val="clear" w:color="auto" w:fill="0F59A0"/>
            <w:vAlign w:val="center"/>
          </w:tcPr>
          <w:p w14:paraId="4A63CF32" w14:textId="77777777" w:rsidR="00C17F14" w:rsidRPr="008D25A9" w:rsidRDefault="00C17F14" w:rsidP="00C17F14">
            <w:pPr>
              <w:spacing w:line="240" w:lineRule="auto"/>
              <w:jc w:val="center"/>
              <w:rPr>
                <w:rFonts w:asciiTheme="minorHAnsi" w:hAnsiTheme="minorHAnsi" w:cstheme="minorHAnsi"/>
                <w:b/>
                <w:color w:val="FFFFFF" w:themeColor="background1"/>
                <w:sz w:val="28"/>
                <w:szCs w:val="28"/>
                <w:lang w:eastAsia="en-AU"/>
              </w:rPr>
            </w:pPr>
            <w:r w:rsidRPr="008D25A9">
              <w:rPr>
                <w:rFonts w:asciiTheme="minorHAnsi" w:hAnsiTheme="minorHAnsi" w:cstheme="minorHAnsi"/>
                <w:b/>
                <w:color w:val="FFFFFF" w:themeColor="background1"/>
                <w:sz w:val="28"/>
                <w:szCs w:val="28"/>
                <w:lang w:eastAsia="en-AU"/>
              </w:rPr>
              <w:t>WEAKNESSES</w:t>
            </w:r>
          </w:p>
        </w:tc>
      </w:tr>
      <w:tr w:rsidR="00C17F14" w:rsidRPr="008D25A9" w14:paraId="5A13C0DF" w14:textId="77777777" w:rsidTr="00C17F14">
        <w:trPr>
          <w:trHeight w:val="2438"/>
        </w:trPr>
        <w:tc>
          <w:tcPr>
            <w:tcW w:w="4676" w:type="dxa"/>
            <w:tcBorders>
              <w:top w:val="single" w:sz="6" w:space="0" w:color="B2B7B7" w:themeColor="background2" w:themeShade="BF"/>
              <w:left w:val="single" w:sz="18" w:space="0" w:color="0F59A0"/>
              <w:bottom w:val="single" w:sz="18" w:space="0" w:color="0F59A0"/>
              <w:right w:val="single" w:sz="18" w:space="0" w:color="0F59A0"/>
            </w:tcBorders>
          </w:tcPr>
          <w:p w14:paraId="029B6584" w14:textId="77777777" w:rsidR="00C17F14" w:rsidRPr="008D25A9" w:rsidRDefault="00C17F14" w:rsidP="00C17F14">
            <w:pPr>
              <w:spacing w:line="240" w:lineRule="auto"/>
              <w:rPr>
                <w:rFonts w:asciiTheme="minorHAnsi" w:eastAsia="Times New Roman" w:hAnsiTheme="minorHAnsi" w:cstheme="minorHAnsi"/>
                <w:lang w:eastAsia="en-AU"/>
              </w:rPr>
            </w:pPr>
          </w:p>
        </w:tc>
        <w:tc>
          <w:tcPr>
            <w:tcW w:w="750" w:type="dxa"/>
            <w:tcBorders>
              <w:left w:val="single" w:sz="18" w:space="0" w:color="0F59A0"/>
              <w:right w:val="single" w:sz="18" w:space="0" w:color="0F59A0"/>
            </w:tcBorders>
            <w:shd w:val="pct10" w:color="auto" w:fill="auto"/>
            <w:textDirection w:val="btLr"/>
            <w:vAlign w:val="center"/>
          </w:tcPr>
          <w:p w14:paraId="1E923439" w14:textId="77777777" w:rsidR="00C17F14" w:rsidRPr="008D25A9" w:rsidRDefault="00C17F14" w:rsidP="00C17F14">
            <w:pPr>
              <w:jc w:val="center"/>
              <w:rPr>
                <w:rFonts w:asciiTheme="minorHAnsi" w:hAnsiTheme="minorHAnsi" w:cstheme="minorHAnsi"/>
                <w:b/>
                <w:sz w:val="24"/>
              </w:rPr>
            </w:pPr>
            <w:r w:rsidRPr="008D25A9">
              <w:rPr>
                <w:rFonts w:asciiTheme="minorHAnsi" w:hAnsiTheme="minorHAnsi" w:cstheme="minorHAnsi"/>
                <w:b/>
                <w:sz w:val="24"/>
                <w:lang w:eastAsia="en-AU"/>
              </w:rPr>
              <w:t>Internal</w:t>
            </w:r>
          </w:p>
        </w:tc>
        <w:tc>
          <w:tcPr>
            <w:tcW w:w="4494" w:type="dxa"/>
            <w:tcBorders>
              <w:top w:val="single" w:sz="6" w:space="0" w:color="B2B7B7" w:themeColor="background2" w:themeShade="BF"/>
              <w:left w:val="single" w:sz="18" w:space="0" w:color="0F59A0"/>
              <w:bottom w:val="single" w:sz="18" w:space="0" w:color="0F59A0"/>
              <w:right w:val="single" w:sz="18" w:space="0" w:color="0F59A0"/>
            </w:tcBorders>
            <w:shd w:val="clear" w:color="auto" w:fill="auto"/>
          </w:tcPr>
          <w:p w14:paraId="69EA3C2F" w14:textId="77777777" w:rsidR="00C17F14" w:rsidRPr="008D25A9" w:rsidRDefault="00C17F14" w:rsidP="00C17F14">
            <w:pPr>
              <w:spacing w:line="240" w:lineRule="auto"/>
              <w:rPr>
                <w:rFonts w:asciiTheme="minorHAnsi" w:eastAsia="Times New Roman" w:hAnsiTheme="minorHAnsi" w:cstheme="minorHAnsi"/>
                <w:lang w:eastAsia="en-AU"/>
              </w:rPr>
            </w:pPr>
          </w:p>
        </w:tc>
      </w:tr>
      <w:tr w:rsidR="00C17F14" w:rsidRPr="008D25A9" w14:paraId="1CA91556" w14:textId="77777777" w:rsidTr="00C17F14">
        <w:tc>
          <w:tcPr>
            <w:tcW w:w="4676" w:type="dxa"/>
            <w:tcBorders>
              <w:top w:val="single" w:sz="18" w:space="0" w:color="0F59A0"/>
              <w:left w:val="single" w:sz="6" w:space="0" w:color="B2B7B7" w:themeColor="background2" w:themeShade="BF"/>
              <w:bottom w:val="single" w:sz="18" w:space="0" w:color="0F59A0"/>
              <w:right w:val="single" w:sz="6" w:space="0" w:color="B2B7B7" w:themeColor="background2" w:themeShade="BF"/>
            </w:tcBorders>
            <w:shd w:val="pct10" w:color="auto" w:fill="auto"/>
          </w:tcPr>
          <w:p w14:paraId="42DB1722" w14:textId="77777777" w:rsidR="00C17F14" w:rsidRPr="008D25A9" w:rsidRDefault="00C17F14" w:rsidP="00C17F14">
            <w:pPr>
              <w:spacing w:before="60" w:line="240" w:lineRule="auto"/>
              <w:jc w:val="center"/>
              <w:rPr>
                <w:rFonts w:asciiTheme="minorHAnsi" w:hAnsiTheme="minorHAnsi" w:cstheme="minorHAnsi"/>
                <w:b/>
                <w:sz w:val="24"/>
                <w:szCs w:val="22"/>
              </w:rPr>
            </w:pPr>
            <w:r w:rsidRPr="008D25A9">
              <w:rPr>
                <w:rFonts w:asciiTheme="minorHAnsi" w:hAnsiTheme="minorHAnsi" w:cstheme="minorHAnsi"/>
                <w:b/>
                <w:sz w:val="24"/>
                <w:szCs w:val="22"/>
              </w:rPr>
              <w:t>Positives</w:t>
            </w:r>
          </w:p>
        </w:tc>
        <w:tc>
          <w:tcPr>
            <w:tcW w:w="75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6" w:space="0" w:color="B2B7B7" w:themeColor="background2" w:themeShade="BF"/>
            </w:tcBorders>
            <w:shd w:val="clear" w:color="auto" w:fill="0F5CA2" w:themeFill="accent1"/>
            <w:vAlign w:val="center"/>
          </w:tcPr>
          <w:p w14:paraId="6A13514F" w14:textId="77777777" w:rsidR="00C17F14" w:rsidRPr="008D25A9" w:rsidRDefault="00C17F14" w:rsidP="00C17F14">
            <w:pPr>
              <w:spacing w:before="60" w:line="240" w:lineRule="auto"/>
              <w:jc w:val="center"/>
              <w:rPr>
                <w:rFonts w:asciiTheme="minorHAnsi" w:hAnsiTheme="minorHAnsi" w:cstheme="minorHAnsi"/>
                <w:b/>
                <w:sz w:val="24"/>
              </w:rPr>
            </w:pPr>
          </w:p>
        </w:tc>
        <w:tc>
          <w:tcPr>
            <w:tcW w:w="4494" w:type="dxa"/>
            <w:tcBorders>
              <w:top w:val="single" w:sz="18" w:space="0" w:color="0F59A0"/>
              <w:left w:val="single" w:sz="6" w:space="0" w:color="B2B7B7" w:themeColor="background2" w:themeShade="BF"/>
              <w:bottom w:val="single" w:sz="18" w:space="0" w:color="0F59A0"/>
              <w:right w:val="single" w:sz="8" w:space="0" w:color="B2B7B7" w:themeColor="background2" w:themeShade="BF"/>
            </w:tcBorders>
            <w:shd w:val="pct10" w:color="auto" w:fill="auto"/>
          </w:tcPr>
          <w:p w14:paraId="02233B5D" w14:textId="77777777" w:rsidR="00C17F14" w:rsidRPr="008D25A9" w:rsidRDefault="00C17F14" w:rsidP="00C17F14">
            <w:pPr>
              <w:spacing w:before="60" w:line="240" w:lineRule="auto"/>
              <w:jc w:val="center"/>
              <w:rPr>
                <w:rFonts w:asciiTheme="minorHAnsi" w:hAnsiTheme="minorHAnsi" w:cstheme="minorHAnsi"/>
                <w:b/>
                <w:sz w:val="24"/>
                <w:szCs w:val="22"/>
              </w:rPr>
            </w:pPr>
            <w:r w:rsidRPr="008D25A9">
              <w:rPr>
                <w:rFonts w:asciiTheme="minorHAnsi" w:hAnsiTheme="minorHAnsi" w:cstheme="minorHAnsi"/>
                <w:b/>
                <w:sz w:val="24"/>
                <w:szCs w:val="22"/>
              </w:rPr>
              <w:t>Negatives</w:t>
            </w:r>
          </w:p>
        </w:tc>
      </w:tr>
      <w:tr w:rsidR="00C17F14" w:rsidRPr="008D25A9" w14:paraId="0CC8A6F7" w14:textId="77777777" w:rsidTr="00C17F14">
        <w:trPr>
          <w:trHeight w:val="2438"/>
        </w:trPr>
        <w:tc>
          <w:tcPr>
            <w:tcW w:w="4676" w:type="dxa"/>
            <w:tcBorders>
              <w:top w:val="single" w:sz="18" w:space="0" w:color="0F59A0"/>
              <w:left w:val="single" w:sz="18" w:space="0" w:color="0F59A0"/>
              <w:bottom w:val="single" w:sz="8" w:space="0" w:color="B2B7B7" w:themeColor="background2" w:themeShade="BF"/>
              <w:right w:val="single" w:sz="18" w:space="0" w:color="0F59A0"/>
            </w:tcBorders>
          </w:tcPr>
          <w:p w14:paraId="1DA440B7" w14:textId="77777777" w:rsidR="00C17F14" w:rsidRPr="008D25A9" w:rsidRDefault="00C17F14" w:rsidP="00C17F14">
            <w:pPr>
              <w:spacing w:line="240" w:lineRule="auto"/>
              <w:rPr>
                <w:rFonts w:asciiTheme="minorHAnsi" w:eastAsia="Times New Roman" w:hAnsiTheme="minorHAnsi" w:cstheme="minorHAnsi"/>
                <w:lang w:eastAsia="en-AU"/>
              </w:rPr>
            </w:pPr>
          </w:p>
        </w:tc>
        <w:tc>
          <w:tcPr>
            <w:tcW w:w="750" w:type="dxa"/>
            <w:tcBorders>
              <w:top w:val="single" w:sz="6" w:space="0" w:color="B2B7B7" w:themeColor="background2" w:themeShade="BF"/>
              <w:left w:val="single" w:sz="18" w:space="0" w:color="0F59A0"/>
              <w:right w:val="single" w:sz="18" w:space="0" w:color="0F59A0"/>
            </w:tcBorders>
            <w:shd w:val="pct10" w:color="auto" w:fill="auto"/>
            <w:textDirection w:val="btLr"/>
            <w:vAlign w:val="center"/>
          </w:tcPr>
          <w:p w14:paraId="41536700" w14:textId="77777777" w:rsidR="00C17F14" w:rsidRPr="008D25A9" w:rsidRDefault="00C17F14" w:rsidP="00C17F14">
            <w:pPr>
              <w:ind w:left="113" w:right="113"/>
              <w:jc w:val="center"/>
              <w:rPr>
                <w:rFonts w:asciiTheme="minorHAnsi" w:hAnsiTheme="minorHAnsi" w:cstheme="minorHAnsi"/>
                <w:b/>
                <w:sz w:val="24"/>
              </w:rPr>
            </w:pPr>
            <w:r w:rsidRPr="008D25A9">
              <w:rPr>
                <w:rFonts w:asciiTheme="minorHAnsi" w:hAnsiTheme="minorHAnsi" w:cstheme="minorHAnsi"/>
                <w:b/>
                <w:sz w:val="24"/>
              </w:rPr>
              <w:t>External</w:t>
            </w:r>
          </w:p>
        </w:tc>
        <w:tc>
          <w:tcPr>
            <w:tcW w:w="4494" w:type="dxa"/>
            <w:tcBorders>
              <w:top w:val="single" w:sz="18" w:space="0" w:color="0F59A0"/>
              <w:left w:val="single" w:sz="18" w:space="0" w:color="0F59A0"/>
              <w:bottom w:val="single" w:sz="8" w:space="0" w:color="B2B7B7" w:themeColor="background2" w:themeShade="BF"/>
              <w:right w:val="single" w:sz="18" w:space="0" w:color="0F59A0"/>
            </w:tcBorders>
            <w:shd w:val="clear" w:color="auto" w:fill="auto"/>
          </w:tcPr>
          <w:p w14:paraId="37A33F85" w14:textId="77777777" w:rsidR="00C17F14" w:rsidRPr="008D25A9" w:rsidRDefault="00C17F14" w:rsidP="00C17F14">
            <w:pPr>
              <w:spacing w:line="240" w:lineRule="auto"/>
              <w:rPr>
                <w:rFonts w:asciiTheme="minorHAnsi" w:eastAsia="Times New Roman" w:hAnsiTheme="minorHAnsi" w:cstheme="minorHAnsi"/>
                <w:lang w:eastAsia="en-AU"/>
              </w:rPr>
            </w:pPr>
          </w:p>
        </w:tc>
      </w:tr>
      <w:tr w:rsidR="00C17F14" w:rsidRPr="008D25A9" w14:paraId="12D605B2" w14:textId="77777777" w:rsidTr="00C17F14">
        <w:tc>
          <w:tcPr>
            <w:tcW w:w="4676" w:type="dxa"/>
            <w:tcBorders>
              <w:top w:val="single" w:sz="8" w:space="0" w:color="B2B7B7" w:themeColor="background2" w:themeShade="BF"/>
              <w:left w:val="single" w:sz="18" w:space="0" w:color="0F59A0"/>
              <w:bottom w:val="single" w:sz="18" w:space="0" w:color="0F59A0"/>
              <w:right w:val="single" w:sz="18" w:space="0" w:color="0F59A0"/>
            </w:tcBorders>
            <w:shd w:val="clear" w:color="auto" w:fill="0F59A0"/>
          </w:tcPr>
          <w:p w14:paraId="08B9F673" w14:textId="77777777" w:rsidR="00C17F14" w:rsidRPr="008D25A9" w:rsidRDefault="00C17F14" w:rsidP="00C17F14">
            <w:pPr>
              <w:spacing w:line="240" w:lineRule="auto"/>
              <w:jc w:val="center"/>
              <w:rPr>
                <w:rFonts w:asciiTheme="minorHAnsi" w:hAnsiTheme="minorHAnsi" w:cstheme="minorHAnsi"/>
                <w:b/>
                <w:color w:val="FFFFFF" w:themeColor="background1"/>
                <w:sz w:val="28"/>
                <w:szCs w:val="28"/>
                <w:lang w:eastAsia="en-AU"/>
              </w:rPr>
            </w:pPr>
            <w:r w:rsidRPr="008D25A9">
              <w:rPr>
                <w:rFonts w:asciiTheme="minorHAnsi" w:hAnsiTheme="minorHAnsi" w:cstheme="minorHAnsi"/>
                <w:b/>
                <w:color w:val="FFFFFF" w:themeColor="background1"/>
                <w:sz w:val="28"/>
                <w:szCs w:val="28"/>
                <w:lang w:eastAsia="en-AU"/>
              </w:rPr>
              <w:t>OPPORTUNITIES</w:t>
            </w:r>
          </w:p>
        </w:tc>
        <w:tc>
          <w:tcPr>
            <w:tcW w:w="750" w:type="dxa"/>
            <w:tcBorders>
              <w:left w:val="single" w:sz="18" w:space="0" w:color="0F59A0"/>
              <w:right w:val="single" w:sz="18" w:space="0" w:color="0F59A0"/>
            </w:tcBorders>
            <w:shd w:val="pct10" w:color="auto" w:fill="auto"/>
            <w:vAlign w:val="center"/>
          </w:tcPr>
          <w:p w14:paraId="61304D67" w14:textId="77777777" w:rsidR="00C17F14" w:rsidRPr="008D25A9" w:rsidRDefault="00C17F14" w:rsidP="00C17F14">
            <w:pPr>
              <w:spacing w:line="240" w:lineRule="auto"/>
              <w:jc w:val="center"/>
              <w:rPr>
                <w:rFonts w:asciiTheme="minorHAnsi" w:hAnsiTheme="minorHAnsi" w:cstheme="minorHAnsi"/>
                <w:b/>
                <w:color w:val="FFFFFF" w:themeColor="background1"/>
                <w:sz w:val="28"/>
                <w:szCs w:val="28"/>
                <w:lang w:eastAsia="en-AU"/>
              </w:rPr>
            </w:pPr>
            <w:r w:rsidRPr="008D25A9">
              <w:rPr>
                <w:rFonts w:asciiTheme="minorHAnsi" w:hAnsiTheme="minorHAnsi" w:cstheme="minorHAnsi"/>
                <w:i/>
                <w:sz w:val="16"/>
                <w:szCs w:val="16"/>
                <w:lang w:eastAsia="en-AU"/>
              </w:rPr>
              <w:t>Future focus</w:t>
            </w:r>
          </w:p>
        </w:tc>
        <w:tc>
          <w:tcPr>
            <w:tcW w:w="4494" w:type="dxa"/>
            <w:tcBorders>
              <w:top w:val="single" w:sz="8" w:space="0" w:color="B2B7B7" w:themeColor="background2" w:themeShade="BF"/>
              <w:left w:val="single" w:sz="18" w:space="0" w:color="0F59A0"/>
              <w:bottom w:val="single" w:sz="18" w:space="0" w:color="0F59A0"/>
              <w:right w:val="single" w:sz="18" w:space="0" w:color="0F59A0"/>
            </w:tcBorders>
            <w:shd w:val="clear" w:color="auto" w:fill="0F59A0"/>
          </w:tcPr>
          <w:p w14:paraId="15164808" w14:textId="77777777" w:rsidR="00C17F14" w:rsidRPr="008D25A9" w:rsidRDefault="00C17F14" w:rsidP="00C17F14">
            <w:pPr>
              <w:spacing w:line="240" w:lineRule="auto"/>
              <w:jc w:val="center"/>
              <w:rPr>
                <w:rFonts w:asciiTheme="minorHAnsi" w:hAnsiTheme="minorHAnsi" w:cstheme="minorHAnsi"/>
                <w:b/>
                <w:color w:val="FFFFFF" w:themeColor="background1"/>
                <w:sz w:val="28"/>
                <w:szCs w:val="28"/>
                <w:lang w:eastAsia="en-AU"/>
              </w:rPr>
            </w:pPr>
            <w:r w:rsidRPr="008D25A9">
              <w:rPr>
                <w:rFonts w:asciiTheme="minorHAnsi" w:hAnsiTheme="minorHAnsi" w:cstheme="minorHAnsi"/>
                <w:b/>
                <w:color w:val="FFFFFF" w:themeColor="background1"/>
                <w:sz w:val="28"/>
                <w:szCs w:val="28"/>
                <w:lang w:eastAsia="en-AU"/>
              </w:rPr>
              <w:t>THREATS</w:t>
            </w:r>
          </w:p>
        </w:tc>
      </w:tr>
    </w:tbl>
    <w:p w14:paraId="55BA3680" w14:textId="5919C0CD" w:rsidR="00757ADC" w:rsidRPr="007D6A2F" w:rsidRDefault="00C17F14" w:rsidP="0062031D">
      <w:pPr>
        <w:spacing w:before="120" w:line="240" w:lineRule="auto"/>
        <w:rPr>
          <w:sz w:val="14"/>
        </w:rPr>
      </w:pPr>
      <w:r w:rsidRPr="009C5B09">
        <w:rPr>
          <w:b/>
          <w:i/>
          <w:sz w:val="14"/>
        </w:rPr>
        <w:t>Source:</w:t>
      </w:r>
      <w:r w:rsidRPr="009C5B09">
        <w:rPr>
          <w:sz w:val="14"/>
        </w:rPr>
        <w:t xml:space="preserve"> </w:t>
      </w:r>
      <w:r>
        <w:rPr>
          <w:sz w:val="14"/>
        </w:rPr>
        <w:t xml:space="preserve">Adapted </w:t>
      </w:r>
      <w:r w:rsidRPr="004C2B55">
        <w:rPr>
          <w:sz w:val="14"/>
        </w:rPr>
        <w:t>from</w:t>
      </w:r>
      <w:r>
        <w:rPr>
          <w:sz w:val="14"/>
        </w:rPr>
        <w:t>:</w:t>
      </w:r>
      <w:r w:rsidRPr="004C2B55">
        <w:rPr>
          <w:sz w:val="14"/>
        </w:rPr>
        <w:t xml:space="preserve"> </w:t>
      </w:r>
      <w:r>
        <w:rPr>
          <w:sz w:val="14"/>
        </w:rPr>
        <w:t>Workforce planning toolkit: Everything you need to plan for your future workforce, Community Services and Health Industry Skills Council, 2015,</w:t>
      </w:r>
    </w:p>
    <w:sectPr w:rsidR="00757ADC" w:rsidRPr="007D6A2F" w:rsidSect="00526121">
      <w:type w:val="continuous"/>
      <w:pgSz w:w="11906" w:h="16838" w:code="9"/>
      <w:pgMar w:top="1531" w:right="1531" w:bottom="153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60CA" w14:textId="77777777" w:rsidR="00387839" w:rsidRDefault="00387839" w:rsidP="005655C9">
      <w:pPr>
        <w:spacing w:line="240" w:lineRule="auto"/>
      </w:pPr>
      <w:r>
        <w:separator/>
      </w:r>
    </w:p>
    <w:p w14:paraId="48EBF16F" w14:textId="77777777" w:rsidR="00387839" w:rsidRDefault="00387839"/>
    <w:p w14:paraId="1E9A172D" w14:textId="77777777" w:rsidR="00387839" w:rsidRDefault="00387839" w:rsidP="00952B5B"/>
    <w:p w14:paraId="1877E9C0" w14:textId="77777777" w:rsidR="00387839" w:rsidRDefault="00387839" w:rsidP="00952B5B"/>
    <w:p w14:paraId="4B4F1A67" w14:textId="77777777" w:rsidR="00387839" w:rsidRDefault="00387839"/>
    <w:p w14:paraId="34B4CF57" w14:textId="77777777" w:rsidR="00387839" w:rsidRDefault="00387839"/>
    <w:p w14:paraId="178301FE" w14:textId="77777777" w:rsidR="00387839" w:rsidRDefault="00387839"/>
    <w:p w14:paraId="17F02865" w14:textId="77777777" w:rsidR="00387839" w:rsidRDefault="00387839"/>
  </w:endnote>
  <w:endnote w:type="continuationSeparator" w:id="0">
    <w:p w14:paraId="08DA347A" w14:textId="77777777" w:rsidR="00387839" w:rsidRDefault="00387839" w:rsidP="005655C9">
      <w:pPr>
        <w:spacing w:line="240" w:lineRule="auto"/>
      </w:pPr>
      <w:r>
        <w:continuationSeparator/>
      </w:r>
    </w:p>
    <w:p w14:paraId="361BD41C" w14:textId="77777777" w:rsidR="00387839" w:rsidRDefault="00387839"/>
    <w:p w14:paraId="64A4FAF4" w14:textId="77777777" w:rsidR="00387839" w:rsidRDefault="00387839" w:rsidP="00952B5B"/>
    <w:p w14:paraId="283C591B" w14:textId="77777777" w:rsidR="00387839" w:rsidRDefault="00387839" w:rsidP="00952B5B"/>
    <w:p w14:paraId="2E331AF4" w14:textId="77777777" w:rsidR="00387839" w:rsidRDefault="00387839"/>
    <w:p w14:paraId="799DDAAE" w14:textId="77777777" w:rsidR="00387839" w:rsidRDefault="00387839"/>
    <w:p w14:paraId="37DB2F76" w14:textId="77777777" w:rsidR="00387839" w:rsidRDefault="00387839"/>
    <w:p w14:paraId="6EB88B38" w14:textId="77777777" w:rsidR="00387839" w:rsidRDefault="003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4CA9" w14:textId="77777777" w:rsidR="00526121" w:rsidRDefault="00526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E602" w14:textId="4C351D10" w:rsidR="00C83692" w:rsidRDefault="004F0967" w:rsidP="00EB0EA5">
    <w:pPr>
      <w:pStyle w:val="Footer"/>
    </w:pPr>
    <w:sdt>
      <w:sdtPr>
        <w:alias w:val="Title"/>
        <w:tag w:val=""/>
        <w:id w:val="-1529179171"/>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Environmental scan report</w:t>
        </w:r>
      </w:sdtContent>
    </w:sdt>
    <w:r w:rsidR="00C83692">
      <w:t xml:space="preserve"> - </w:t>
    </w:r>
    <w:sdt>
      <w:sdtPr>
        <w:alias w:val="Subject"/>
        <w:tag w:val=""/>
        <w:id w:val="-732629842"/>
        <w:dataBinding w:prefixMappings="xmlns:ns0='http://purl.org/dc/elements/1.1/' xmlns:ns1='http://schemas.openxmlformats.org/package/2006/metadata/core-properties' " w:xpath="/ns1:coreProperties[1]/ns0:subject[1]" w:storeItemID="{6C3C8BC8-F283-45AE-878A-BAB7291924A1}"/>
        <w:text/>
      </w:sdtPr>
      <w:sdtEndPr/>
      <w:sdtContent>
        <w:r>
          <w:t>Toolkit - Environmental scan report</w:t>
        </w:r>
      </w:sdtContent>
    </w:sdt>
    <w:r w:rsidR="00C83692">
      <w:t xml:space="preserve"> </w:t>
    </w:r>
    <w:r w:rsidR="00225F25">
      <w:ptab w:relativeTo="margin" w:alignment="right" w:leader="none"/>
    </w:r>
    <w:r w:rsidR="00225F25">
      <w:t xml:space="preserve">Page </w:t>
    </w:r>
    <w:r w:rsidR="00526121" w:rsidRPr="00526121">
      <w:rPr>
        <w:b/>
        <w:bCs/>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E4F8" w14:textId="62741CD9" w:rsidR="00C83692" w:rsidRDefault="004F0967" w:rsidP="00757ADC">
    <w:pPr>
      <w:pStyle w:val="Footer"/>
      <w:tabs>
        <w:tab w:val="clear" w:pos="4513"/>
        <w:tab w:val="center" w:pos="5245"/>
      </w:tabs>
    </w:pPr>
    <w:sdt>
      <w:sdtPr>
        <w:alias w:val="Title"/>
        <w:tag w:val=""/>
        <w:id w:val="409278079"/>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Environmental scan report</w:t>
        </w:r>
      </w:sdtContent>
    </w:sdt>
    <w:r w:rsidR="00C83692">
      <w:t xml:space="preserve"> - </w:t>
    </w:r>
    <w:sdt>
      <w:sdtPr>
        <w:alias w:val="Subject"/>
        <w:tag w:val=""/>
        <w:id w:val="1311439977"/>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Toolkit - Environmental scan report</w:t>
        </w:r>
      </w:sdtContent>
    </w:sdt>
    <w:r w:rsidR="00C83692">
      <w:t xml:space="preserve"> </w:t>
    </w:r>
    <w:r w:rsidR="00C836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F8B2" w14:textId="77777777" w:rsidR="00387839" w:rsidRPr="00DB3896" w:rsidRDefault="00387839" w:rsidP="00DB3896">
      <w:pPr>
        <w:spacing w:line="240" w:lineRule="auto"/>
        <w:rPr>
          <w:color w:val="D9D9D9" w:themeColor="background1" w:themeShade="D9"/>
        </w:rPr>
      </w:pPr>
      <w:r w:rsidRPr="007638A8">
        <w:rPr>
          <w:color w:val="D9D9D9" w:themeColor="background1" w:themeShade="D9"/>
        </w:rPr>
        <w:separator/>
      </w:r>
    </w:p>
    <w:p w14:paraId="5802C40A" w14:textId="77777777" w:rsidR="00387839" w:rsidRDefault="00387839"/>
    <w:p w14:paraId="7D27ABBD" w14:textId="77777777" w:rsidR="00387839" w:rsidRDefault="00387839"/>
    <w:p w14:paraId="75F47861" w14:textId="77777777" w:rsidR="00387839" w:rsidRDefault="00387839"/>
  </w:footnote>
  <w:footnote w:type="continuationSeparator" w:id="0">
    <w:p w14:paraId="29A8D8B3" w14:textId="77777777" w:rsidR="00387839" w:rsidRDefault="00387839" w:rsidP="005655C9">
      <w:pPr>
        <w:spacing w:line="240" w:lineRule="auto"/>
      </w:pPr>
      <w:r>
        <w:continuationSeparator/>
      </w:r>
    </w:p>
    <w:p w14:paraId="4D8E1235" w14:textId="77777777" w:rsidR="00387839" w:rsidRDefault="00387839"/>
    <w:p w14:paraId="5E5D6A85" w14:textId="77777777" w:rsidR="00387839" w:rsidRDefault="00387839" w:rsidP="00952B5B"/>
    <w:p w14:paraId="40CC6667" w14:textId="77777777" w:rsidR="00387839" w:rsidRDefault="00387839" w:rsidP="00952B5B"/>
    <w:p w14:paraId="7C816172" w14:textId="77777777" w:rsidR="00387839" w:rsidRDefault="00387839"/>
    <w:p w14:paraId="0A843F10" w14:textId="77777777" w:rsidR="00387839" w:rsidRDefault="00387839"/>
    <w:p w14:paraId="0E740AFA" w14:textId="77777777" w:rsidR="00387839" w:rsidRDefault="00387839"/>
    <w:p w14:paraId="14D5DB36" w14:textId="77777777" w:rsidR="00387839" w:rsidRDefault="0038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9218" w14:textId="77777777" w:rsidR="00526121" w:rsidRDefault="00526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895E" w14:textId="77777777" w:rsidR="00C83692" w:rsidRPr="00225F25" w:rsidRDefault="00225F25"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59264" behindDoc="1" locked="0" layoutInCell="1" allowOverlap="1" wp14:anchorId="25EB8A5C" wp14:editId="5827C09D">
          <wp:simplePos x="0" y="0"/>
          <wp:positionH relativeFrom="column">
            <wp:posOffset>-962660</wp:posOffset>
          </wp:positionH>
          <wp:positionV relativeFrom="page">
            <wp:posOffset>-11166</wp:posOffset>
          </wp:positionV>
          <wp:extent cx="15116175" cy="1303020"/>
          <wp:effectExtent l="0" t="0" r="9525" b="0"/>
          <wp:wrapNone/>
          <wp:docPr id="3" name="Picture 3"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2277C04E" w14:textId="77777777" w:rsidR="00C83692" w:rsidRDefault="00C836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E0C6" w14:textId="77777777" w:rsidR="00526121" w:rsidRDefault="00526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F5565"/>
    <w:multiLevelType w:val="hybridMultilevel"/>
    <w:tmpl w:val="9E943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3110EAB"/>
    <w:multiLevelType w:val="hybridMultilevel"/>
    <w:tmpl w:val="D230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B06A21"/>
    <w:multiLevelType w:val="hybridMultilevel"/>
    <w:tmpl w:val="7BD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64AEF"/>
    <w:multiLevelType w:val="hybridMultilevel"/>
    <w:tmpl w:val="F2E2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281BF4"/>
    <w:multiLevelType w:val="hybridMultilevel"/>
    <w:tmpl w:val="2CA2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FD60E0"/>
    <w:multiLevelType w:val="hybridMultilevel"/>
    <w:tmpl w:val="928C8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E908B1"/>
    <w:multiLevelType w:val="hybridMultilevel"/>
    <w:tmpl w:val="AF14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61380"/>
    <w:multiLevelType w:val="hybridMultilevel"/>
    <w:tmpl w:val="B20AD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6633EF"/>
    <w:multiLevelType w:val="hybridMultilevel"/>
    <w:tmpl w:val="1810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27092"/>
    <w:multiLevelType w:val="hybridMultilevel"/>
    <w:tmpl w:val="D6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838D5"/>
    <w:multiLevelType w:val="hybridMultilevel"/>
    <w:tmpl w:val="FA94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1"/>
  </w:num>
  <w:num w:numId="8">
    <w:abstractNumId w:val="9"/>
  </w:num>
  <w:num w:numId="9">
    <w:abstractNumId w:val="15"/>
  </w:num>
  <w:num w:numId="10">
    <w:abstractNumId w:val="7"/>
  </w:num>
  <w:num w:numId="11">
    <w:abstractNumId w:val="17"/>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E"/>
    <w:rsid w:val="0000006D"/>
    <w:rsid w:val="00002B1B"/>
    <w:rsid w:val="0000330E"/>
    <w:rsid w:val="00004C05"/>
    <w:rsid w:val="000102EE"/>
    <w:rsid w:val="00011ACB"/>
    <w:rsid w:val="00016271"/>
    <w:rsid w:val="000177FA"/>
    <w:rsid w:val="00020E27"/>
    <w:rsid w:val="00022D7A"/>
    <w:rsid w:val="00022DDB"/>
    <w:rsid w:val="00030AB2"/>
    <w:rsid w:val="000317F2"/>
    <w:rsid w:val="0003774E"/>
    <w:rsid w:val="000379C7"/>
    <w:rsid w:val="0004535D"/>
    <w:rsid w:val="00047071"/>
    <w:rsid w:val="00050FE6"/>
    <w:rsid w:val="00054FA5"/>
    <w:rsid w:val="000563EB"/>
    <w:rsid w:val="00056BD6"/>
    <w:rsid w:val="00060860"/>
    <w:rsid w:val="00065A54"/>
    <w:rsid w:val="00066B7B"/>
    <w:rsid w:val="000712C1"/>
    <w:rsid w:val="00071708"/>
    <w:rsid w:val="00073919"/>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1C20"/>
    <w:rsid w:val="000A5480"/>
    <w:rsid w:val="000A5C61"/>
    <w:rsid w:val="000A66BF"/>
    <w:rsid w:val="000A71FA"/>
    <w:rsid w:val="000B2BCA"/>
    <w:rsid w:val="000B72B4"/>
    <w:rsid w:val="000C4228"/>
    <w:rsid w:val="000D0B02"/>
    <w:rsid w:val="000D154F"/>
    <w:rsid w:val="000D31C5"/>
    <w:rsid w:val="000D39E0"/>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25F25"/>
    <w:rsid w:val="002301B6"/>
    <w:rsid w:val="002309A1"/>
    <w:rsid w:val="002315D9"/>
    <w:rsid w:val="002373F8"/>
    <w:rsid w:val="00240836"/>
    <w:rsid w:val="00240897"/>
    <w:rsid w:val="002449FC"/>
    <w:rsid w:val="00245840"/>
    <w:rsid w:val="002479A4"/>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1660"/>
    <w:rsid w:val="00314153"/>
    <w:rsid w:val="00314B98"/>
    <w:rsid w:val="00316B60"/>
    <w:rsid w:val="00316C21"/>
    <w:rsid w:val="00317E0F"/>
    <w:rsid w:val="0032406F"/>
    <w:rsid w:val="003324A5"/>
    <w:rsid w:val="00333D1A"/>
    <w:rsid w:val="003341F1"/>
    <w:rsid w:val="003353E9"/>
    <w:rsid w:val="00341F88"/>
    <w:rsid w:val="00344CD5"/>
    <w:rsid w:val="003461A3"/>
    <w:rsid w:val="003464AA"/>
    <w:rsid w:val="00350750"/>
    <w:rsid w:val="00350C0A"/>
    <w:rsid w:val="003529B3"/>
    <w:rsid w:val="00352B72"/>
    <w:rsid w:val="00354930"/>
    <w:rsid w:val="00355039"/>
    <w:rsid w:val="00357128"/>
    <w:rsid w:val="003605F9"/>
    <w:rsid w:val="00362C15"/>
    <w:rsid w:val="00364062"/>
    <w:rsid w:val="003661B9"/>
    <w:rsid w:val="003670B4"/>
    <w:rsid w:val="00373DF9"/>
    <w:rsid w:val="0037411B"/>
    <w:rsid w:val="00376393"/>
    <w:rsid w:val="00387381"/>
    <w:rsid w:val="00387839"/>
    <w:rsid w:val="003878E3"/>
    <w:rsid w:val="00395EFF"/>
    <w:rsid w:val="003A2B34"/>
    <w:rsid w:val="003A6203"/>
    <w:rsid w:val="003B1457"/>
    <w:rsid w:val="003B6431"/>
    <w:rsid w:val="003B7ED7"/>
    <w:rsid w:val="003C775C"/>
    <w:rsid w:val="003D2D25"/>
    <w:rsid w:val="003E174B"/>
    <w:rsid w:val="003E5191"/>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17B"/>
    <w:rsid w:val="00436F69"/>
    <w:rsid w:val="00442878"/>
    <w:rsid w:val="00444053"/>
    <w:rsid w:val="00444C11"/>
    <w:rsid w:val="0044735C"/>
    <w:rsid w:val="00447A4C"/>
    <w:rsid w:val="00460114"/>
    <w:rsid w:val="00460870"/>
    <w:rsid w:val="00462408"/>
    <w:rsid w:val="00462C04"/>
    <w:rsid w:val="00462DC3"/>
    <w:rsid w:val="00463275"/>
    <w:rsid w:val="004652CC"/>
    <w:rsid w:val="00473EC6"/>
    <w:rsid w:val="00474C27"/>
    <w:rsid w:val="0047576D"/>
    <w:rsid w:val="0048181E"/>
    <w:rsid w:val="00482CC3"/>
    <w:rsid w:val="004831D3"/>
    <w:rsid w:val="00484A97"/>
    <w:rsid w:val="004866E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0967"/>
    <w:rsid w:val="004F17A1"/>
    <w:rsid w:val="004F1C97"/>
    <w:rsid w:val="004F4A08"/>
    <w:rsid w:val="00500A17"/>
    <w:rsid w:val="00501377"/>
    <w:rsid w:val="00505703"/>
    <w:rsid w:val="005138A2"/>
    <w:rsid w:val="00513E2B"/>
    <w:rsid w:val="005205B8"/>
    <w:rsid w:val="00521B45"/>
    <w:rsid w:val="00524A14"/>
    <w:rsid w:val="00526121"/>
    <w:rsid w:val="0052755E"/>
    <w:rsid w:val="005277E7"/>
    <w:rsid w:val="00531475"/>
    <w:rsid w:val="00531752"/>
    <w:rsid w:val="00536EFE"/>
    <w:rsid w:val="005433C7"/>
    <w:rsid w:val="0054704A"/>
    <w:rsid w:val="00553A02"/>
    <w:rsid w:val="00555240"/>
    <w:rsid w:val="00555902"/>
    <w:rsid w:val="0056004A"/>
    <w:rsid w:val="0056129F"/>
    <w:rsid w:val="005619DA"/>
    <w:rsid w:val="005655C9"/>
    <w:rsid w:val="00566B11"/>
    <w:rsid w:val="00575D7E"/>
    <w:rsid w:val="00577AF8"/>
    <w:rsid w:val="00580230"/>
    <w:rsid w:val="0058662F"/>
    <w:rsid w:val="005871AA"/>
    <w:rsid w:val="005951EE"/>
    <w:rsid w:val="005965C9"/>
    <w:rsid w:val="00596729"/>
    <w:rsid w:val="005A2F1B"/>
    <w:rsid w:val="005A50DE"/>
    <w:rsid w:val="005A7842"/>
    <w:rsid w:val="005A7C02"/>
    <w:rsid w:val="005B2A03"/>
    <w:rsid w:val="005B3180"/>
    <w:rsid w:val="005B57AE"/>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31D"/>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0AF6"/>
    <w:rsid w:val="006C3FB6"/>
    <w:rsid w:val="006D7458"/>
    <w:rsid w:val="006F0A87"/>
    <w:rsid w:val="006F77E7"/>
    <w:rsid w:val="007110FF"/>
    <w:rsid w:val="007135A8"/>
    <w:rsid w:val="00724065"/>
    <w:rsid w:val="0072754B"/>
    <w:rsid w:val="007321AB"/>
    <w:rsid w:val="00734807"/>
    <w:rsid w:val="0073685D"/>
    <w:rsid w:val="007404B1"/>
    <w:rsid w:val="0074617E"/>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35BF"/>
    <w:rsid w:val="007B5450"/>
    <w:rsid w:val="007B66B8"/>
    <w:rsid w:val="007B680B"/>
    <w:rsid w:val="007B7B0D"/>
    <w:rsid w:val="007B7BBC"/>
    <w:rsid w:val="007B7EA6"/>
    <w:rsid w:val="007C0D8F"/>
    <w:rsid w:val="007C71ED"/>
    <w:rsid w:val="007D1EBB"/>
    <w:rsid w:val="007D1F6C"/>
    <w:rsid w:val="007D2DCB"/>
    <w:rsid w:val="007D344A"/>
    <w:rsid w:val="007D6A2F"/>
    <w:rsid w:val="007E2E42"/>
    <w:rsid w:val="007E350E"/>
    <w:rsid w:val="007E3D08"/>
    <w:rsid w:val="007E6348"/>
    <w:rsid w:val="007E6AB3"/>
    <w:rsid w:val="007E7BA4"/>
    <w:rsid w:val="007F282D"/>
    <w:rsid w:val="007F2BC9"/>
    <w:rsid w:val="007F2DC6"/>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93E30"/>
    <w:rsid w:val="00897DA3"/>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2F"/>
    <w:rsid w:val="008F7945"/>
    <w:rsid w:val="009019A2"/>
    <w:rsid w:val="00901FFD"/>
    <w:rsid w:val="00903887"/>
    <w:rsid w:val="00905500"/>
    <w:rsid w:val="00905B58"/>
    <w:rsid w:val="00907041"/>
    <w:rsid w:val="00907AE9"/>
    <w:rsid w:val="009111AB"/>
    <w:rsid w:val="00914181"/>
    <w:rsid w:val="00915748"/>
    <w:rsid w:val="00917AFE"/>
    <w:rsid w:val="00921916"/>
    <w:rsid w:val="00922111"/>
    <w:rsid w:val="009230D6"/>
    <w:rsid w:val="00923E23"/>
    <w:rsid w:val="009248CC"/>
    <w:rsid w:val="00926742"/>
    <w:rsid w:val="009302A2"/>
    <w:rsid w:val="00930FDA"/>
    <w:rsid w:val="00931347"/>
    <w:rsid w:val="009337DB"/>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62D5"/>
    <w:rsid w:val="00AA7264"/>
    <w:rsid w:val="00AA767D"/>
    <w:rsid w:val="00AB1155"/>
    <w:rsid w:val="00AB34FD"/>
    <w:rsid w:val="00AB51C9"/>
    <w:rsid w:val="00AB717A"/>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F14"/>
    <w:rsid w:val="00C202BD"/>
    <w:rsid w:val="00C230FB"/>
    <w:rsid w:val="00C2449F"/>
    <w:rsid w:val="00C31308"/>
    <w:rsid w:val="00C37D90"/>
    <w:rsid w:val="00C406BB"/>
    <w:rsid w:val="00C411F6"/>
    <w:rsid w:val="00C44CC2"/>
    <w:rsid w:val="00C463CB"/>
    <w:rsid w:val="00C50FF0"/>
    <w:rsid w:val="00C62BF6"/>
    <w:rsid w:val="00C66D8F"/>
    <w:rsid w:val="00C673B8"/>
    <w:rsid w:val="00C71484"/>
    <w:rsid w:val="00C76224"/>
    <w:rsid w:val="00C76568"/>
    <w:rsid w:val="00C83692"/>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07EAA"/>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1381"/>
    <w:rsid w:val="00D82B75"/>
    <w:rsid w:val="00D851C4"/>
    <w:rsid w:val="00D90EB7"/>
    <w:rsid w:val="00D96285"/>
    <w:rsid w:val="00D96F6C"/>
    <w:rsid w:val="00D97072"/>
    <w:rsid w:val="00DA1A3A"/>
    <w:rsid w:val="00DB0A95"/>
    <w:rsid w:val="00DB0C46"/>
    <w:rsid w:val="00DB0E5A"/>
    <w:rsid w:val="00DB1D3D"/>
    <w:rsid w:val="00DB3896"/>
    <w:rsid w:val="00DB7614"/>
    <w:rsid w:val="00DB7647"/>
    <w:rsid w:val="00DC16F3"/>
    <w:rsid w:val="00DC2FD2"/>
    <w:rsid w:val="00DC5219"/>
    <w:rsid w:val="00DD1908"/>
    <w:rsid w:val="00DD2D88"/>
    <w:rsid w:val="00DD3033"/>
    <w:rsid w:val="00DD5E17"/>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47CB6"/>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0BAF"/>
    <w:rsid w:val="00ED1EEA"/>
    <w:rsid w:val="00EE0CAC"/>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243B"/>
    <w:rsid w:val="00FA330E"/>
    <w:rsid w:val="00FA4298"/>
    <w:rsid w:val="00FA5B33"/>
    <w:rsid w:val="00FA7309"/>
    <w:rsid w:val="00FB0A93"/>
    <w:rsid w:val="00FB3F55"/>
    <w:rsid w:val="00FB5F87"/>
    <w:rsid w:val="00FB7898"/>
    <w:rsid w:val="00FC1E89"/>
    <w:rsid w:val="00FD12A8"/>
    <w:rsid w:val="00FD19C7"/>
    <w:rsid w:val="00FD3061"/>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4B8A3DF0"/>
  <w14:discardImageEditingData/>
  <w14:defaultImageDpi w14:val="330"/>
  <w15:chartTrackingRefBased/>
  <w15:docId w15:val="{5311072C-3194-4C01-8E90-7381B81A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9"/>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9"/>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0"/>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0"/>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1"/>
    <w:qFormat/>
    <w:rsid w:val="002D755A"/>
    <w:rPr>
      <w:i/>
      <w:iCs/>
      <w:color w:val="105674" w:themeColor="accent3" w:themeShade="80"/>
    </w:rPr>
  </w:style>
  <w:style w:type="character" w:styleId="UnresolvedMention">
    <w:name w:val="Unresolved Mention"/>
    <w:basedOn w:val="DefaultParagraphFont"/>
    <w:uiPriority w:val="99"/>
    <w:unhideWhenUsed/>
    <w:rsid w:val="008D7AC0"/>
    <w:rPr>
      <w:color w:val="808080"/>
      <w:shd w:val="clear" w:color="auto" w:fill="E6E6E6"/>
    </w:rPr>
  </w:style>
  <w:style w:type="paragraph" w:styleId="Quote">
    <w:name w:val="Quote"/>
    <w:aliases w:val="Standard Quote"/>
    <w:basedOn w:val="BodyText"/>
    <w:next w:val="BodyText"/>
    <w:link w:val="QuoteChar"/>
    <w:uiPriority w:val="29"/>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29"/>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19"/>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rsid w:val="00C17F14"/>
    <w:rPr>
      <w:i/>
      <w:iCs/>
    </w:rPr>
  </w:style>
  <w:style w:type="character" w:styleId="SubtleReference">
    <w:name w:val="Subtle Reference"/>
    <w:basedOn w:val="DefaultParagraphFont"/>
    <w:uiPriority w:val="31"/>
    <w:rsid w:val="00C17F14"/>
    <w:rPr>
      <w:smallCaps/>
      <w:color w:val="5A5A5A" w:themeColor="text1" w:themeTint="A5"/>
    </w:rPr>
  </w:style>
  <w:style w:type="character" w:styleId="IntenseReference">
    <w:name w:val="Intense Reference"/>
    <w:basedOn w:val="DefaultParagraphFont"/>
    <w:uiPriority w:val="32"/>
    <w:rsid w:val="00C17F14"/>
    <w:rPr>
      <w:b/>
      <w:bCs/>
      <w:smallCaps/>
      <w:color w:val="auto"/>
      <w:spacing w:val="5"/>
    </w:rPr>
  </w:style>
  <w:style w:type="character" w:styleId="BookTitle">
    <w:name w:val="Book Title"/>
    <w:basedOn w:val="DefaultParagraphFont"/>
    <w:uiPriority w:val="33"/>
    <w:rsid w:val="00C17F14"/>
    <w:rPr>
      <w:b/>
      <w:bCs/>
      <w:i/>
      <w:iCs/>
      <w:spacing w:val="5"/>
    </w:rPr>
  </w:style>
  <w:style w:type="paragraph" w:customStyle="1" w:styleId="Title1">
    <w:name w:val="Title 1"/>
    <w:basedOn w:val="Heading1"/>
    <w:autoRedefine/>
    <w:qFormat/>
    <w:rsid w:val="00C17F14"/>
    <w:pPr>
      <w:keepNext w:val="0"/>
      <w:keepLines w:val="0"/>
      <w:widowControl w:val="0"/>
      <w:suppressAutoHyphens/>
      <w:autoSpaceDE w:val="0"/>
      <w:autoSpaceDN w:val="0"/>
      <w:adjustRightInd w:val="0"/>
      <w:spacing w:before="0" w:after="0"/>
      <w:jc w:val="center"/>
      <w:textAlignment w:val="center"/>
      <w:textboxTightWrap w:val="none"/>
    </w:pPr>
    <w:rPr>
      <w:rFonts w:ascii="Arial" w:eastAsia="MS Mincho" w:hAnsi="Arial" w:cs="Arial"/>
      <w:b/>
      <w:color w:val="FFFFFF" w:themeColor="background1"/>
      <w:kern w:val="0"/>
      <w:sz w:val="80"/>
      <w:szCs w:val="56"/>
      <w:lang w:val="en-GB" w:eastAsia="en-AU"/>
      <w14:numSpacing w14:val="default"/>
    </w:rPr>
  </w:style>
  <w:style w:type="paragraph" w:customStyle="1" w:styleId="Title2">
    <w:name w:val="Title 2"/>
    <w:basedOn w:val="Heading2"/>
    <w:autoRedefine/>
    <w:qFormat/>
    <w:rsid w:val="00C17F14"/>
    <w:pPr>
      <w:keepNext w:val="0"/>
      <w:keepLines w:val="0"/>
      <w:spacing w:before="0" w:after="120" w:line="240" w:lineRule="auto"/>
      <w:textboxTightWrap w:val="none"/>
    </w:pPr>
    <w:rPr>
      <w:rFonts w:ascii="Arial" w:eastAsiaTheme="minorHAnsi" w:hAnsi="Arial" w:cs="Arial"/>
      <w:b/>
      <w:bCs/>
      <w:color w:val="CCE29B" w:themeColor="accent5"/>
      <w:kern w:val="0"/>
      <w:sz w:val="36"/>
      <w:szCs w:val="40"/>
      <w:lang w:eastAsia="en-US"/>
      <w14:numSpacing w14:val="default"/>
    </w:rPr>
  </w:style>
  <w:style w:type="paragraph" w:customStyle="1" w:styleId="FooterpageNumber">
    <w:name w:val="Footer page Number"/>
    <w:basedOn w:val="Footer"/>
    <w:rsid w:val="00C17F14"/>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Default">
    <w:name w:val="Default"/>
    <w:rsid w:val="00C17F14"/>
    <w:pPr>
      <w:autoSpaceDE w:val="0"/>
      <w:autoSpaceDN w:val="0"/>
      <w:adjustRightInd w:val="0"/>
      <w:spacing w:line="240" w:lineRule="auto"/>
    </w:pPr>
    <w:rPr>
      <w:rFonts w:ascii="Brandon Text Light" w:hAnsi="Brandon Text Light" w:cs="Brandon Text Light"/>
      <w:color w:val="000000"/>
      <w:sz w:val="24"/>
      <w:szCs w:val="24"/>
    </w:rPr>
  </w:style>
  <w:style w:type="paragraph" w:customStyle="1" w:styleId="Pa21">
    <w:name w:val="Pa2+1"/>
    <w:basedOn w:val="Default"/>
    <w:next w:val="Default"/>
    <w:uiPriority w:val="99"/>
    <w:rsid w:val="00C17F14"/>
    <w:pPr>
      <w:spacing w:line="191" w:lineRule="atLeast"/>
    </w:pPr>
    <w:rPr>
      <w:rFonts w:cstheme="minorBidi"/>
      <w:color w:val="auto"/>
    </w:rPr>
  </w:style>
  <w:style w:type="paragraph" w:customStyle="1" w:styleId="Pa17">
    <w:name w:val="Pa17"/>
    <w:basedOn w:val="Default"/>
    <w:next w:val="Default"/>
    <w:uiPriority w:val="99"/>
    <w:rsid w:val="00C17F14"/>
    <w:pPr>
      <w:spacing w:line="221" w:lineRule="atLeast"/>
    </w:pPr>
    <w:rPr>
      <w:rFonts w:ascii="Brandon Text Bold" w:hAnsi="Brandon Text Bold" w:cstheme="minorBidi"/>
      <w:color w:val="auto"/>
    </w:rPr>
  </w:style>
  <w:style w:type="paragraph" w:customStyle="1" w:styleId="Pa7">
    <w:name w:val="Pa7"/>
    <w:basedOn w:val="Default"/>
    <w:next w:val="Default"/>
    <w:uiPriority w:val="99"/>
    <w:rsid w:val="00C17F14"/>
    <w:pPr>
      <w:spacing w:line="191" w:lineRule="atLeast"/>
    </w:pPr>
    <w:rPr>
      <w:rFonts w:ascii="Brandon Text Bold" w:hAnsi="Brandon Text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8D6FCEF6B445F842C4B706E55727B"/>
        <w:category>
          <w:name w:val="General"/>
          <w:gallery w:val="placeholder"/>
        </w:category>
        <w:types>
          <w:type w:val="bbPlcHdr"/>
        </w:types>
        <w:behaviors>
          <w:behavior w:val="content"/>
        </w:behaviors>
        <w:guid w:val="{089843E9-B0CD-4F4E-BA55-566A0CB88047}"/>
      </w:docPartPr>
      <w:docPartBody>
        <w:p w:rsidR="00012148" w:rsidRDefault="00B166B8">
          <w:pPr>
            <w:pStyle w:val="8448D6FCEF6B445F842C4B706E55727B"/>
          </w:pPr>
          <w:r w:rsidRPr="001A5BE2">
            <w:rPr>
              <w:rStyle w:val="PlaceholderText"/>
            </w:rPr>
            <w:t>[Title]</w:t>
          </w:r>
        </w:p>
      </w:docPartBody>
    </w:docPart>
    <w:docPart>
      <w:docPartPr>
        <w:name w:val="E93BF3804794405CAA6ECA10DA012073"/>
        <w:category>
          <w:name w:val="General"/>
          <w:gallery w:val="placeholder"/>
        </w:category>
        <w:types>
          <w:type w:val="bbPlcHdr"/>
        </w:types>
        <w:behaviors>
          <w:behavior w:val="content"/>
        </w:behaviors>
        <w:guid w:val="{244A2477-3EFF-49FC-8E62-779231D71DAF}"/>
      </w:docPartPr>
      <w:docPartBody>
        <w:p w:rsidR="00012148" w:rsidRDefault="00B166B8">
          <w:pPr>
            <w:pStyle w:val="E93BF3804794405CAA6ECA10DA012073"/>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12148"/>
    <w:rsid w:val="000E7509"/>
    <w:rsid w:val="00440D59"/>
    <w:rsid w:val="00492884"/>
    <w:rsid w:val="00583F83"/>
    <w:rsid w:val="00646771"/>
    <w:rsid w:val="00653BE8"/>
    <w:rsid w:val="007B431E"/>
    <w:rsid w:val="00880E58"/>
    <w:rsid w:val="00A71DD0"/>
    <w:rsid w:val="00B166B8"/>
    <w:rsid w:val="00D759F6"/>
    <w:rsid w:val="00FD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48D6FCEF6B445F842C4B706E55727B">
    <w:name w:val="8448D6FCEF6B445F842C4B706E55727B"/>
  </w:style>
  <w:style w:type="paragraph" w:customStyle="1" w:styleId="E93BF3804794405CAA6ECA10DA012073">
    <w:name w:val="E93BF3804794405CAA6ECA10DA01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963B17C0-28E1-4E15-8BF6-9A496D22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Strategic health workforce planning framework toolkit - Environmental scan report</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workforce planning framework toolkit - Environmental scan report</dc:title>
  <dc:subject>Toolkit - Environmental scan report</dc:subject>
  <dc:creator>Workforce Strategy Branch, Queensland Health</dc:creator>
  <cp:keywords/>
  <dc:description/>
  <cp:lastModifiedBy>Karina Millwater</cp:lastModifiedBy>
  <cp:revision>4</cp:revision>
  <cp:lastPrinted>2019-11-22T05:45:00Z</cp:lastPrinted>
  <dcterms:created xsi:type="dcterms:W3CDTF">2020-06-30T05:04:00Z</dcterms:created>
  <dcterms:modified xsi:type="dcterms:W3CDTF">2020-06-30T06:40:00Z</dcterms:modified>
</cp:coreProperties>
</file>