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5D6EC6"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D6EC6"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5D6EC6"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D6EC6"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3878CE8E" w:rsidR="00154AB4" w:rsidRPr="0089106C" w:rsidRDefault="003029C9" w:rsidP="0089106C">
                <w:pPr>
                  <w:spacing w:before="40" w:after="40"/>
                  <w:rPr>
                    <w:b/>
                    <w:bCs/>
                    <w:sz w:val="22"/>
                    <w:szCs w:val="22"/>
                  </w:rPr>
                </w:pPr>
                <w:r>
                  <w:rPr>
                    <w:b/>
                    <w:bCs/>
                    <w:sz w:val="22"/>
                    <w:szCs w:val="22"/>
                  </w:rPr>
                  <w:t xml:space="preserve">Pathology </w:t>
                </w:r>
                <w:r w:rsidR="0089106C">
                  <w:rPr>
                    <w:b/>
                    <w:bCs/>
                    <w:sz w:val="22"/>
                    <w:szCs w:val="22"/>
                  </w:rPr>
                  <w:t>Services</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3F842BD7" w:rsidR="00154AB4" w:rsidRPr="00B3484E" w:rsidRDefault="00154AB4" w:rsidP="00154AB4">
                <w:pPr>
                  <w:spacing w:before="40" w:after="40"/>
                  <w:rPr>
                    <w:b/>
                    <w:bCs/>
                    <w:sz w:val="22"/>
                    <w:szCs w:val="22"/>
                  </w:rPr>
                </w:pPr>
                <w:r>
                  <w:rPr>
                    <w:b/>
                    <w:bCs/>
                    <w:sz w:val="22"/>
                    <w:szCs w:val="22"/>
                  </w:rPr>
                  <w:t xml:space="preserve">Level </w:t>
                </w:r>
                <w:r w:rsidR="003029C9">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0A734FBF" w:rsidR="00294B2A" w:rsidRPr="008155E7" w:rsidRDefault="008155E7" w:rsidP="005D6EC6">
                <w:pPr>
                  <w:numPr>
                    <w:ilvl w:val="0"/>
                    <w:numId w:val="13"/>
                  </w:numPr>
                  <w:autoSpaceDE w:val="0"/>
                  <w:autoSpaceDN w:val="0"/>
                  <w:adjustRightInd w:val="0"/>
                  <w:spacing w:line="240" w:lineRule="auto"/>
                  <w:ind w:left="357" w:hanging="357"/>
                  <w:rPr>
                    <w:rFonts w:cs="Arial"/>
                    <w:sz w:val="19"/>
                    <w:szCs w:val="19"/>
                  </w:rPr>
                </w:pPr>
                <w:r w:rsidRPr="008155E7">
                  <w:rPr>
                    <w:rStyle w:val="ClearCharacter"/>
                    <w:sz w:val="19"/>
                    <w:szCs w:val="19"/>
                  </w:rPr>
                  <w:t>documented processes with an accredited public or private laboratory for referral and transfer of specimens to ensure safe, ongoing management of complex tests</w:t>
                </w:r>
                <w:r w:rsidRPr="008155E7">
                  <w:rPr>
                    <w:rStyle w:val="ClearCharacter"/>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557B8C" w:rsidRDefault="00294B2A" w:rsidP="00557B8C">
                <w:pPr>
                  <w:spacing w:line="240" w:lineRule="auto"/>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52E3ACA3" w:rsidR="00154AB4" w:rsidRPr="00557B8C" w:rsidRDefault="00154AB4" w:rsidP="00557B8C">
                <w:pPr>
                  <w:spacing w:line="240" w:lineRule="auto"/>
                  <w:rPr>
                    <w:color w:val="006D35" w:themeColor="accent6" w:themeShade="BF"/>
                    <w:sz w:val="19"/>
                    <w:szCs w:val="19"/>
                  </w:rPr>
                </w:pP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5FBAEBDB" w:rsidR="00294B2A" w:rsidRPr="008155E7" w:rsidRDefault="008155E7" w:rsidP="005D6EC6">
                <w:pPr>
                  <w:pStyle w:val="Default"/>
                  <w:numPr>
                    <w:ilvl w:val="0"/>
                    <w:numId w:val="13"/>
                  </w:numPr>
                  <w:ind w:left="357" w:hanging="357"/>
                  <w:rPr>
                    <w:rFonts w:ascii="Fira Sans" w:hAnsi="Fira Sans"/>
                    <w:sz w:val="19"/>
                    <w:szCs w:val="19"/>
                  </w:rPr>
                </w:pPr>
                <w:r w:rsidRPr="008155E7">
                  <w:rPr>
                    <w:rStyle w:val="ClearCharacter"/>
                    <w:rFonts w:ascii="Fira Sans" w:hAnsi="Fira Sans"/>
                    <w:color w:val="3A3E3E" w:themeColor="background2" w:themeShade="40"/>
                    <w:sz w:val="19"/>
                    <w:szCs w:val="19"/>
                  </w:rPr>
                  <w:t xml:space="preserve">the requirement to meet the National Pathology Accreditation Advisory Council (NPAAC) </w:t>
                </w:r>
                <w:r w:rsidRPr="008155E7">
                  <w:rPr>
                    <w:rStyle w:val="ClearCharacter"/>
                    <w:rFonts w:ascii="Fira Sans" w:hAnsi="Fira Sans"/>
                    <w:i/>
                    <w:color w:val="3A3E3E" w:themeColor="background2" w:themeShade="40"/>
                    <w:sz w:val="19"/>
                    <w:szCs w:val="19"/>
                  </w:rPr>
                  <w:t>Requirements for the Packaging and Transport of Patient Specimens and Associated Material</w:t>
                </w:r>
                <w:r w:rsidRPr="008155E7">
                  <w:rPr>
                    <w:rStyle w:val="ClearCharacter"/>
                    <w:rFonts w:ascii="Fira Sans" w:hAnsi="Fira Sans"/>
                    <w:i/>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557B8C" w:rsidRDefault="00294B2A" w:rsidP="00557B8C">
                <w:pPr>
                  <w:tabs>
                    <w:tab w:val="left" w:pos="720"/>
                  </w:tabs>
                  <w:spacing w:line="240" w:lineRule="auto"/>
                  <w:rPr>
                    <w:color w:val="006D35" w:themeColor="accent6" w:themeShade="BF"/>
                    <w:sz w:val="19"/>
                    <w:szCs w:val="19"/>
                  </w:rPr>
                </w:pPr>
              </w:p>
            </w:tc>
          </w:tr>
          <w:tr w:rsidR="008155E7" w:rsidRPr="00371A1D" w14:paraId="1E460AB1" w14:textId="77777777" w:rsidTr="00E45740">
            <w:tc>
              <w:tcPr>
                <w:tcW w:w="3598" w:type="dxa"/>
                <w:tcBorders>
                  <w:top w:val="single" w:sz="2" w:space="0" w:color="auto"/>
                  <w:left w:val="single" w:sz="12" w:space="0" w:color="auto"/>
                  <w:bottom w:val="single" w:sz="2" w:space="0" w:color="auto"/>
                  <w:right w:val="single" w:sz="2" w:space="0" w:color="auto"/>
                </w:tcBorders>
              </w:tcPr>
              <w:p w14:paraId="68C73F7E" w14:textId="0F3D72C3" w:rsidR="008155E7" w:rsidRPr="00AC7B7D" w:rsidRDefault="008155E7" w:rsidP="005D6EC6">
                <w:pPr>
                  <w:pStyle w:val="Default"/>
                  <w:numPr>
                    <w:ilvl w:val="0"/>
                    <w:numId w:val="13"/>
                  </w:numPr>
                  <w:ind w:left="357" w:hanging="357"/>
                  <w:rPr>
                    <w:rStyle w:val="ClearCharacter"/>
                    <w:rFonts w:ascii="Fira Sans" w:hAnsi="Fira Sans"/>
                    <w:color w:val="3A3E3E" w:themeColor="background2" w:themeShade="40"/>
                    <w:sz w:val="19"/>
                    <w:szCs w:val="19"/>
                  </w:rPr>
                </w:pPr>
                <w:r w:rsidRPr="00AC7B7D">
                  <w:rPr>
                    <w:rStyle w:val="ClearCharacter"/>
                    <w:rFonts w:ascii="Fira Sans" w:hAnsi="Fira Sans"/>
                    <w:color w:val="3A3E3E" w:themeColor="background2" w:themeShade="40"/>
                    <w:sz w:val="19"/>
                    <w:szCs w:val="19"/>
                  </w:rPr>
                  <w:t>part of service network with some specialist diagnostic services available</w:t>
                </w:r>
              </w:p>
            </w:tc>
            <w:tc>
              <w:tcPr>
                <w:tcW w:w="1394" w:type="dxa"/>
                <w:tcBorders>
                  <w:top w:val="single" w:sz="2" w:space="0" w:color="auto"/>
                  <w:left w:val="single" w:sz="2" w:space="0" w:color="auto"/>
                  <w:bottom w:val="single" w:sz="2" w:space="0" w:color="auto"/>
                  <w:right w:val="single" w:sz="2" w:space="0" w:color="auto"/>
                </w:tcBorders>
              </w:tcPr>
              <w:p w14:paraId="3EDBBA56" w14:textId="77777777" w:rsidR="008155E7" w:rsidRPr="00557B8C" w:rsidRDefault="008155E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884EDC" w14:textId="77777777" w:rsidR="008155E7" w:rsidRPr="00557B8C" w:rsidRDefault="008155E7" w:rsidP="00557B8C">
                <w:pPr>
                  <w:tabs>
                    <w:tab w:val="left" w:pos="720"/>
                  </w:tabs>
                  <w:spacing w:line="240" w:lineRule="auto"/>
                  <w:rPr>
                    <w:color w:val="006D35" w:themeColor="accent6" w:themeShade="BF"/>
                    <w:sz w:val="19"/>
                    <w:szCs w:val="19"/>
                  </w:rPr>
                </w:pPr>
              </w:p>
            </w:tc>
          </w:tr>
          <w:tr w:rsidR="008155E7" w:rsidRPr="00371A1D" w14:paraId="27B3DC5E" w14:textId="77777777" w:rsidTr="00E45740">
            <w:tc>
              <w:tcPr>
                <w:tcW w:w="3598" w:type="dxa"/>
                <w:tcBorders>
                  <w:top w:val="single" w:sz="2" w:space="0" w:color="auto"/>
                  <w:left w:val="single" w:sz="12" w:space="0" w:color="auto"/>
                  <w:bottom w:val="single" w:sz="2" w:space="0" w:color="auto"/>
                  <w:right w:val="single" w:sz="2" w:space="0" w:color="auto"/>
                </w:tcBorders>
              </w:tcPr>
              <w:p w14:paraId="0014E7B2" w14:textId="6CDE8D58" w:rsidR="008155E7" w:rsidRPr="00AC7B7D" w:rsidRDefault="00AC7B7D" w:rsidP="005D6EC6">
                <w:pPr>
                  <w:pStyle w:val="Default"/>
                  <w:numPr>
                    <w:ilvl w:val="0"/>
                    <w:numId w:val="13"/>
                  </w:numPr>
                  <w:ind w:left="357" w:hanging="357"/>
                  <w:rPr>
                    <w:rStyle w:val="ClearCharacter"/>
                    <w:rFonts w:ascii="Fira Sans" w:hAnsi="Fira Sans"/>
                    <w:color w:val="3A3E3E" w:themeColor="background2" w:themeShade="40"/>
                    <w:sz w:val="19"/>
                    <w:szCs w:val="19"/>
                  </w:rPr>
                </w:pPr>
                <w:r w:rsidRPr="00AC7B7D">
                  <w:rPr>
                    <w:rStyle w:val="ClearCharacter"/>
                    <w:rFonts w:ascii="Fira Sans" w:hAnsi="Fira Sans"/>
                    <w:color w:val="3A3E3E" w:themeColor="background2" w:themeShade="40"/>
                    <w:sz w:val="19"/>
                    <w:szCs w:val="19"/>
                  </w:rPr>
                  <w:t>provides complex pathology testing with most highly complex pathology services accessible via higher level pathology services mainly through electronic distributions, which return results promptly to requesting laboratories / practitioner.</w:t>
                </w:r>
              </w:p>
            </w:tc>
            <w:tc>
              <w:tcPr>
                <w:tcW w:w="1394" w:type="dxa"/>
                <w:tcBorders>
                  <w:top w:val="single" w:sz="2" w:space="0" w:color="auto"/>
                  <w:left w:val="single" w:sz="2" w:space="0" w:color="auto"/>
                  <w:bottom w:val="single" w:sz="2" w:space="0" w:color="auto"/>
                  <w:right w:val="single" w:sz="2" w:space="0" w:color="auto"/>
                </w:tcBorders>
              </w:tcPr>
              <w:p w14:paraId="3D093E67" w14:textId="77777777" w:rsidR="008155E7" w:rsidRPr="00557B8C" w:rsidRDefault="008155E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ABCBBD" w14:textId="77777777" w:rsidR="008155E7" w:rsidRPr="00557B8C" w:rsidRDefault="008155E7" w:rsidP="00557B8C">
                <w:pPr>
                  <w:tabs>
                    <w:tab w:val="left" w:pos="720"/>
                  </w:tabs>
                  <w:spacing w:line="240" w:lineRule="auto"/>
                  <w:rPr>
                    <w:color w:val="006D35" w:themeColor="accent6" w:themeShade="BF"/>
                    <w:sz w:val="19"/>
                    <w:szCs w:val="19"/>
                  </w:rPr>
                </w:pPr>
              </w:p>
            </w:tc>
          </w:tr>
          <w:tr w:rsidR="008155E7" w:rsidRPr="00371A1D" w14:paraId="5D916E98" w14:textId="77777777" w:rsidTr="00E45740">
            <w:tc>
              <w:tcPr>
                <w:tcW w:w="3598" w:type="dxa"/>
                <w:tcBorders>
                  <w:top w:val="single" w:sz="2" w:space="0" w:color="auto"/>
                  <w:left w:val="single" w:sz="12" w:space="0" w:color="auto"/>
                  <w:bottom w:val="single" w:sz="2" w:space="0" w:color="auto"/>
                  <w:right w:val="single" w:sz="2" w:space="0" w:color="auto"/>
                </w:tcBorders>
              </w:tcPr>
              <w:p w14:paraId="7ECF9882" w14:textId="4BCD98F5" w:rsidR="008155E7" w:rsidRPr="00AC7B7D" w:rsidRDefault="00AC7B7D" w:rsidP="005D6EC6">
                <w:pPr>
                  <w:pStyle w:val="Default"/>
                  <w:numPr>
                    <w:ilvl w:val="0"/>
                    <w:numId w:val="13"/>
                  </w:numPr>
                  <w:ind w:left="357" w:hanging="357"/>
                  <w:rPr>
                    <w:rStyle w:val="ClearCharacter"/>
                    <w:rFonts w:ascii="Fira Sans" w:hAnsi="Fira Sans"/>
                    <w:color w:val="3A3E3E" w:themeColor="background2" w:themeShade="40"/>
                    <w:sz w:val="19"/>
                    <w:szCs w:val="19"/>
                  </w:rPr>
                </w:pPr>
                <w:r w:rsidRPr="00AC7B7D">
                  <w:rPr>
                    <w:rStyle w:val="ClearCharacter"/>
                    <w:rFonts w:ascii="Fira Sans" w:hAnsi="Fira Sans"/>
                    <w:color w:val="3A3E3E" w:themeColor="background2" w:themeShade="40"/>
                    <w:sz w:val="19"/>
                    <w:szCs w:val="19"/>
                  </w:rPr>
                  <w:t>ability to manage emergency pathology specimens until transfer to higher level available</w:t>
                </w:r>
              </w:p>
            </w:tc>
            <w:tc>
              <w:tcPr>
                <w:tcW w:w="1394" w:type="dxa"/>
                <w:tcBorders>
                  <w:top w:val="single" w:sz="2" w:space="0" w:color="auto"/>
                  <w:left w:val="single" w:sz="2" w:space="0" w:color="auto"/>
                  <w:bottom w:val="single" w:sz="2" w:space="0" w:color="auto"/>
                  <w:right w:val="single" w:sz="2" w:space="0" w:color="auto"/>
                </w:tcBorders>
              </w:tcPr>
              <w:p w14:paraId="7D1A9FDF" w14:textId="77777777" w:rsidR="008155E7" w:rsidRPr="00557B8C" w:rsidRDefault="008155E7"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174168A" w14:textId="77777777" w:rsidR="008155E7" w:rsidRPr="00557B8C" w:rsidRDefault="008155E7" w:rsidP="00557B8C">
                <w:pPr>
                  <w:tabs>
                    <w:tab w:val="left" w:pos="720"/>
                  </w:tabs>
                  <w:spacing w:line="240" w:lineRule="auto"/>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557B8C" w:rsidRDefault="00294B2A" w:rsidP="00557B8C">
                <w:pPr>
                  <w:spacing w:line="240" w:lineRule="auto"/>
                  <w:rPr>
                    <w:rFonts w:cstheme="minorHAnsi"/>
                    <w:b/>
                    <w:bCs/>
                    <w:i/>
                    <w:iCs/>
                    <w:color w:val="0F59A0"/>
                    <w:sz w:val="19"/>
                    <w:szCs w:val="19"/>
                    <w:lang w:eastAsia="en-AU"/>
                  </w:rPr>
                </w:pPr>
                <w:r w:rsidRPr="00557B8C">
                  <w:rPr>
                    <w:rFonts w:cstheme="minorHAnsi"/>
                    <w:b/>
                    <w:bCs/>
                    <w:i/>
                    <w:iCs/>
                    <w:color w:val="0F59A0"/>
                    <w:sz w:val="19"/>
                    <w:szCs w:val="19"/>
                    <w:lang w:eastAsia="en-AU"/>
                  </w:rPr>
                  <w:lastRenderedPageBreak/>
                  <w:t>Service requirements:</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19D55397" w14:textId="77777777" w:rsidR="00566CBE" w:rsidRPr="005D6EC6" w:rsidRDefault="00566CBE" w:rsidP="005D6EC6">
                <w:pPr>
                  <w:pStyle w:val="ListBullet"/>
                  <w:numPr>
                    <w:ilvl w:val="0"/>
                    <w:numId w:val="14"/>
                  </w:numPr>
                  <w:spacing w:after="0" w:line="240" w:lineRule="auto"/>
                  <w:ind w:left="340" w:hanging="340"/>
                  <w:rPr>
                    <w:rStyle w:val="ClearCharacter"/>
                    <w:sz w:val="19"/>
                    <w:szCs w:val="19"/>
                  </w:rPr>
                </w:pPr>
                <w:r w:rsidRPr="005D6EC6">
                  <w:rPr>
                    <w:rStyle w:val="ClearCharacter"/>
                    <w:sz w:val="19"/>
                    <w:szCs w:val="19"/>
                  </w:rPr>
                  <w:t>services from NATA / RCPA accredited category GX or GY laboratory with:</w:t>
                </w:r>
              </w:p>
              <w:p w14:paraId="27F48260" w14:textId="77777777" w:rsidR="00566CBE" w:rsidRPr="005D6EC6" w:rsidRDefault="00566CBE" w:rsidP="005D6EC6">
                <w:pPr>
                  <w:pStyle w:val="ListBullet"/>
                  <w:numPr>
                    <w:ilvl w:val="1"/>
                    <w:numId w:val="15"/>
                  </w:numPr>
                  <w:spacing w:after="0" w:line="240" w:lineRule="auto"/>
                  <w:rPr>
                    <w:rStyle w:val="ClearCharacter"/>
                    <w:sz w:val="19"/>
                    <w:szCs w:val="19"/>
                  </w:rPr>
                </w:pPr>
                <w:r w:rsidRPr="005D6EC6">
                  <w:rPr>
                    <w:rStyle w:val="ClearCharacter"/>
                    <w:sz w:val="19"/>
                    <w:szCs w:val="19"/>
                  </w:rPr>
                  <w:t>on-site collection and processing capabilities</w:t>
                </w:r>
              </w:p>
              <w:p w14:paraId="6A3A7164" w14:textId="77777777" w:rsidR="00566CBE" w:rsidRPr="005D6EC6" w:rsidRDefault="00566CBE" w:rsidP="005D6EC6">
                <w:pPr>
                  <w:pStyle w:val="ListBullet"/>
                  <w:numPr>
                    <w:ilvl w:val="1"/>
                    <w:numId w:val="15"/>
                  </w:numPr>
                  <w:spacing w:after="0" w:line="240" w:lineRule="auto"/>
                  <w:rPr>
                    <w:rStyle w:val="ClearCharacter"/>
                    <w:sz w:val="19"/>
                    <w:szCs w:val="19"/>
                  </w:rPr>
                </w:pPr>
                <w:r w:rsidRPr="005D6EC6">
                  <w:rPr>
                    <w:rStyle w:val="ClearCharacter"/>
                    <w:sz w:val="19"/>
                    <w:szCs w:val="19"/>
                  </w:rPr>
                  <w:t>laboratory and medical staff</w:t>
                </w:r>
              </w:p>
              <w:p w14:paraId="5F1D0555" w14:textId="77777777" w:rsidR="00566CBE" w:rsidRPr="005D6EC6" w:rsidRDefault="00566CBE" w:rsidP="005D6EC6">
                <w:pPr>
                  <w:pStyle w:val="ListBullet"/>
                  <w:numPr>
                    <w:ilvl w:val="1"/>
                    <w:numId w:val="15"/>
                  </w:numPr>
                  <w:spacing w:after="0" w:line="240" w:lineRule="auto"/>
                  <w:rPr>
                    <w:rStyle w:val="ClearCharacter"/>
                    <w:sz w:val="19"/>
                    <w:szCs w:val="19"/>
                  </w:rPr>
                </w:pPr>
                <w:r w:rsidRPr="005D6EC6">
                  <w:rPr>
                    <w:rStyle w:val="ClearCharacter"/>
                    <w:sz w:val="19"/>
                    <w:szCs w:val="19"/>
                  </w:rPr>
                  <w:t>blood product storage and cross-matching capabilities</w:t>
                </w:r>
              </w:p>
              <w:p w14:paraId="77627F51" w14:textId="77777777" w:rsidR="00566CBE" w:rsidRPr="005D6EC6" w:rsidRDefault="00566CBE" w:rsidP="005D6EC6">
                <w:pPr>
                  <w:pStyle w:val="ListBullet"/>
                  <w:numPr>
                    <w:ilvl w:val="1"/>
                    <w:numId w:val="15"/>
                  </w:numPr>
                  <w:spacing w:after="0" w:line="240" w:lineRule="auto"/>
                  <w:rPr>
                    <w:rStyle w:val="ClearCharacter"/>
                    <w:sz w:val="19"/>
                    <w:szCs w:val="19"/>
                  </w:rPr>
                </w:pPr>
                <w:r w:rsidRPr="005D6EC6">
                  <w:rPr>
                    <w:rStyle w:val="ClearCharacter"/>
                    <w:sz w:val="19"/>
                    <w:szCs w:val="19"/>
                  </w:rPr>
                  <w:t>fine needle aspiration</w:t>
                </w:r>
              </w:p>
              <w:p w14:paraId="742E5935" w14:textId="18BB46C8" w:rsidR="00294B2A" w:rsidRPr="005D6EC6" w:rsidRDefault="00566CBE" w:rsidP="005D6EC6">
                <w:pPr>
                  <w:pStyle w:val="Default"/>
                  <w:numPr>
                    <w:ilvl w:val="1"/>
                    <w:numId w:val="10"/>
                  </w:numPr>
                  <w:ind w:left="731"/>
                  <w:rPr>
                    <w:rFonts w:ascii="Fira Sans" w:hAnsi="Fira Sans"/>
                    <w:sz w:val="19"/>
                    <w:szCs w:val="19"/>
                  </w:rPr>
                </w:pPr>
                <w:r w:rsidRPr="005D6EC6">
                  <w:rPr>
                    <w:rStyle w:val="ClearCharacter"/>
                    <w:rFonts w:ascii="Fira Sans" w:hAnsi="Fira Sans"/>
                    <w:color w:val="3A3E3E" w:themeColor="background2" w:themeShade="40"/>
                    <w:sz w:val="19"/>
                    <w:szCs w:val="19"/>
                  </w:rPr>
                  <w:t>frozen sections services.</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557B8C" w:rsidRDefault="00294B2A" w:rsidP="00557B8C">
                <w:pPr>
                  <w:tabs>
                    <w:tab w:val="left" w:pos="720"/>
                  </w:tabs>
                  <w:spacing w:line="240" w:lineRule="auto"/>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196F2A78" w:rsidR="00294B2A" w:rsidRPr="005D6EC6" w:rsidRDefault="00566CBE" w:rsidP="005D6EC6">
                <w:pPr>
                  <w:pStyle w:val="Default"/>
                  <w:numPr>
                    <w:ilvl w:val="0"/>
                    <w:numId w:val="16"/>
                  </w:numPr>
                  <w:rPr>
                    <w:rFonts w:ascii="Fira Sans" w:hAnsi="Fira Sans"/>
                    <w:sz w:val="19"/>
                    <w:szCs w:val="19"/>
                  </w:rPr>
                </w:pPr>
                <w:r w:rsidRPr="005D6EC6">
                  <w:rPr>
                    <w:rStyle w:val="ClearCharacter"/>
                    <w:rFonts w:ascii="Fira Sans" w:hAnsi="Fira Sans"/>
                    <w:color w:val="3A3E3E" w:themeColor="background2" w:themeShade="40"/>
                    <w:sz w:val="19"/>
                    <w:szCs w:val="19"/>
                  </w:rPr>
                  <w:t>pathologists present at laboratory during business hours and accessible 24/7, including weekends and holidays</w:t>
                </w:r>
                <w:r w:rsidR="005D6EC6"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557B8C" w:rsidRDefault="00294B2A" w:rsidP="00557B8C">
                <w:pPr>
                  <w:tabs>
                    <w:tab w:val="left" w:pos="720"/>
                  </w:tabs>
                  <w:spacing w:line="240" w:lineRule="auto"/>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7B12C07B" w:rsidR="00294B2A" w:rsidRPr="005D6EC6" w:rsidRDefault="005D6EC6" w:rsidP="005D6EC6">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laboratory staff present 24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557B8C" w:rsidRDefault="00294B2A" w:rsidP="00557B8C">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557B8C" w:rsidRDefault="00294B2A" w:rsidP="00557B8C">
                <w:pPr>
                  <w:tabs>
                    <w:tab w:val="left" w:pos="720"/>
                  </w:tabs>
                  <w:spacing w:line="240" w:lineRule="auto"/>
                  <w:rPr>
                    <w:color w:val="auto"/>
                    <w:sz w:val="19"/>
                    <w:szCs w:val="19"/>
                  </w:rPr>
                </w:pPr>
              </w:p>
            </w:tc>
          </w:tr>
          <w:tr w:rsidR="005D6EC6"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27D31905" w:rsidR="005D6EC6" w:rsidRPr="005D6EC6" w:rsidRDefault="005D6EC6" w:rsidP="005D6EC6">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routine microbiology services (including culture of blood, urine, stool) undertaken and samples referred as per laboratory protocols.</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5D6EC6" w:rsidRPr="00557B8C" w:rsidRDefault="005D6EC6" w:rsidP="005D6EC6">
                <w:pPr>
                  <w:tabs>
                    <w:tab w:val="left" w:pos="720"/>
                  </w:tabs>
                  <w:spacing w:line="240" w:lineRule="auto"/>
                  <w:rPr>
                    <w:color w:val="auto"/>
                    <w:sz w:val="19"/>
                    <w:szCs w:val="19"/>
                  </w:rPr>
                </w:pPr>
              </w:p>
            </w:tc>
          </w:tr>
          <w:tr w:rsidR="005D6EC6"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65851162" w:rsidR="005D6EC6" w:rsidRPr="005D6EC6" w:rsidRDefault="005D6EC6" w:rsidP="005D6EC6">
                <w:pPr>
                  <w:pStyle w:val="Default"/>
                  <w:numPr>
                    <w:ilvl w:val="0"/>
                    <w:numId w:val="17"/>
                  </w:numPr>
                  <w:rPr>
                    <w:rFonts w:ascii="Fira Sans" w:hAnsi="Fira Sans"/>
                    <w:sz w:val="19"/>
                    <w:szCs w:val="19"/>
                  </w:rPr>
                </w:pPr>
                <w:r w:rsidRPr="005D6EC6">
                  <w:rPr>
                    <w:rStyle w:val="ClearCharacter"/>
                    <w:rFonts w:ascii="Fira Sans" w:hAnsi="Fira Sans"/>
                    <w:color w:val="3A3E3E" w:themeColor="background2" w:themeShade="40"/>
                    <w:sz w:val="19"/>
                    <w:szCs w:val="19"/>
                  </w:rPr>
                  <w:t>access to comprehensive suite of anatomical pathology, cytopathology, chemical pathology, haematology (including coagulation and manual differential full blood count and blood banking), immunopathology and microbiology general and specialist services and transfusion service 24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5D6EC6" w:rsidRPr="00557B8C" w:rsidRDefault="005D6EC6" w:rsidP="005D6EC6">
                <w:pPr>
                  <w:tabs>
                    <w:tab w:val="left" w:pos="720"/>
                  </w:tabs>
                  <w:spacing w:line="240" w:lineRule="auto"/>
                  <w:rPr>
                    <w:color w:val="auto"/>
                    <w:sz w:val="19"/>
                    <w:szCs w:val="19"/>
                  </w:rPr>
                </w:pPr>
              </w:p>
            </w:tc>
          </w:tr>
          <w:tr w:rsidR="005D6EC6"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6BF17F13" w14:textId="11F83B97" w:rsidR="005D6EC6" w:rsidRPr="005D6EC6" w:rsidRDefault="005D6EC6" w:rsidP="005D6EC6">
                <w:pPr>
                  <w:pStyle w:val="Default"/>
                  <w:numPr>
                    <w:ilvl w:val="0"/>
                    <w:numId w:val="8"/>
                  </w:numPr>
                  <w:rPr>
                    <w:rFonts w:ascii="Fira Sans" w:hAnsi="Fira Sans"/>
                    <w:sz w:val="19"/>
                    <w:szCs w:val="19"/>
                  </w:rPr>
                </w:pPr>
                <w:r w:rsidRPr="005D6EC6">
                  <w:rPr>
                    <w:rStyle w:val="ClearCharacter"/>
                    <w:rFonts w:ascii="Fira Sans" w:hAnsi="Fira Sans"/>
                    <w:color w:val="3A3E3E" w:themeColor="background2" w:themeShade="40"/>
                    <w:sz w:val="19"/>
                    <w:szCs w:val="19"/>
                  </w:rPr>
                  <w:t>routine anatomical pathology available within 96 hours</w:t>
                </w:r>
                <w:r w:rsidRPr="005D6EC6">
                  <w:rPr>
                    <w:rStyle w:val="ClearCharacte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5D6EC6" w:rsidRPr="00557B8C" w:rsidRDefault="005D6EC6" w:rsidP="005D6EC6">
                <w:pPr>
                  <w:tabs>
                    <w:tab w:val="left" w:pos="720"/>
                  </w:tabs>
                  <w:spacing w:line="240" w:lineRule="auto"/>
                  <w:rPr>
                    <w:color w:val="auto"/>
                    <w:sz w:val="19"/>
                    <w:szCs w:val="19"/>
                  </w:rPr>
                </w:pPr>
              </w:p>
            </w:tc>
          </w:tr>
          <w:tr w:rsidR="005D6EC6"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5D6EC6" w:rsidRPr="00557B8C" w:rsidRDefault="005D6EC6" w:rsidP="005D6EC6">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Pr="00557B8C">
                  <w:rPr>
                    <w:rFonts w:cstheme="minorHAnsi"/>
                    <w:b/>
                    <w:bCs/>
                    <w:i/>
                    <w:iCs/>
                    <w:color w:val="0F59A0"/>
                    <w:kern w:val="21"/>
                    <w:sz w:val="19"/>
                    <w:szCs w:val="19"/>
                    <w:lang w:val="en-AU" w:eastAsia="en-AU"/>
                    <w14:numSpacing w14:val="proportional"/>
                  </w:rPr>
                  <w:t>Workforce requirements:</w:t>
                </w:r>
              </w:p>
            </w:tc>
          </w:tr>
          <w:tr w:rsidR="005D6EC6"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710BE02" w:rsidR="005D6EC6" w:rsidRPr="005D6EC6" w:rsidRDefault="005D6EC6" w:rsidP="005D6EC6">
                <w:pPr>
                  <w:pStyle w:val="Default"/>
                  <w:numPr>
                    <w:ilvl w:val="0"/>
                    <w:numId w:val="8"/>
                  </w:numPr>
                  <w:ind w:left="357" w:hanging="357"/>
                  <w:rPr>
                    <w:rFonts w:ascii="Fira Sans" w:hAnsi="Fira Sans"/>
                    <w:sz w:val="19"/>
                    <w:szCs w:val="19"/>
                  </w:rPr>
                </w:pPr>
                <w:r w:rsidRPr="005D6EC6">
                  <w:rPr>
                    <w:rStyle w:val="ClearCharacter"/>
                    <w:rFonts w:ascii="Fira Sans" w:hAnsi="Fira Sans"/>
                    <w:color w:val="3A3E3E" w:themeColor="background2" w:themeShade="40"/>
                    <w:sz w:val="19"/>
                    <w:szCs w:val="19"/>
                  </w:rPr>
                  <w:t>laboratories staffed in accordance with relevant NPAAC standards</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5D6EC6" w:rsidRPr="00557B8C" w:rsidRDefault="005D6EC6" w:rsidP="005D6EC6">
                <w:pPr>
                  <w:tabs>
                    <w:tab w:val="left" w:pos="720"/>
                  </w:tabs>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5D6EC6" w:rsidRPr="00557B8C" w:rsidRDefault="005D6EC6" w:rsidP="005D6EC6">
                <w:pPr>
                  <w:tabs>
                    <w:tab w:val="left" w:pos="720"/>
                  </w:tabs>
                  <w:spacing w:line="240" w:lineRule="auto"/>
                  <w:rPr>
                    <w:color w:val="auto"/>
                    <w:sz w:val="19"/>
                    <w:szCs w:val="19"/>
                  </w:rPr>
                </w:pPr>
              </w:p>
            </w:tc>
          </w:tr>
          <w:tr w:rsidR="005D6EC6"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152309B6" w:rsidR="005D6EC6" w:rsidRPr="005D6EC6" w:rsidRDefault="005D6EC6" w:rsidP="005D6EC6">
                <w:pPr>
                  <w:pStyle w:val="Default"/>
                  <w:numPr>
                    <w:ilvl w:val="0"/>
                    <w:numId w:val="11"/>
                  </w:numPr>
                  <w:ind w:left="357" w:hanging="357"/>
                  <w:rPr>
                    <w:rFonts w:ascii="Fira Sans" w:hAnsi="Fira Sans"/>
                    <w:color w:val="3A3E3E" w:themeColor="background2" w:themeShade="40"/>
                    <w:sz w:val="19"/>
                    <w:szCs w:val="19"/>
                  </w:rPr>
                </w:pPr>
                <w:r w:rsidRPr="005D6EC6">
                  <w:rPr>
                    <w:rStyle w:val="ClearCharacter"/>
                    <w:rFonts w:ascii="Fira Sans" w:hAnsi="Fira Sans"/>
                    <w:color w:val="3A3E3E" w:themeColor="background2" w:themeShade="40"/>
                    <w:sz w:val="19"/>
                    <w:szCs w:val="19"/>
                  </w:rPr>
                  <w:t>supervisory roles for each of the laboratories defined as per laboratory categories</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5D6EC6" w:rsidRPr="00557B8C" w:rsidRDefault="005D6EC6" w:rsidP="005D6EC6">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5D6EC6" w:rsidRPr="00557B8C" w:rsidRDefault="005D6EC6" w:rsidP="005D6EC6">
                <w:pPr>
                  <w:spacing w:line="240" w:lineRule="auto"/>
                  <w:rPr>
                    <w:sz w:val="19"/>
                    <w:szCs w:val="19"/>
                  </w:rPr>
                </w:pPr>
              </w:p>
            </w:tc>
          </w:tr>
          <w:tr w:rsidR="005D6EC6"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5D6EC6" w:rsidRPr="00557B8C" w:rsidRDefault="005D6EC6" w:rsidP="005D6EC6">
                <w:pPr>
                  <w:spacing w:line="240" w:lineRule="auto"/>
                  <w:rPr>
                    <w:rFonts w:cstheme="minorHAnsi"/>
                    <w:b/>
                    <w:bCs/>
                    <w:i/>
                    <w:iCs/>
                    <w:color w:val="0F59A0"/>
                    <w:kern w:val="21"/>
                    <w:sz w:val="19"/>
                    <w:szCs w:val="19"/>
                    <w:lang w:val="en-AU" w:eastAsia="en-AU"/>
                    <w14:numSpacing w14:val="proportional"/>
                  </w:rPr>
                </w:pPr>
                <w:r w:rsidRPr="00557B8C">
                  <w:rPr>
                    <w:sz w:val="19"/>
                    <w:szCs w:val="19"/>
                  </w:rPr>
                  <w:br w:type="page"/>
                </w:r>
                <w:r w:rsidRPr="00557B8C">
                  <w:rPr>
                    <w:rFonts w:cstheme="minorHAnsi"/>
                    <w:b/>
                    <w:bCs/>
                    <w:i/>
                    <w:iCs/>
                    <w:color w:val="0F59A0"/>
                    <w:kern w:val="21"/>
                    <w:sz w:val="19"/>
                    <w:szCs w:val="19"/>
                    <w:lang w:val="en-AU" w:eastAsia="en-AU"/>
                    <w14:numSpacing w14:val="proportional"/>
                  </w:rPr>
                  <w:t>Specific Risk Considerations:</w:t>
                </w:r>
              </w:p>
            </w:tc>
          </w:tr>
          <w:tr w:rsidR="005D6EC6"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3782C8D7" w:rsidR="005D6EC6" w:rsidRPr="00557B8C" w:rsidRDefault="005D6EC6" w:rsidP="005D6EC6">
                <w:pPr>
                  <w:pStyle w:val="Heading5"/>
                  <w:numPr>
                    <w:ilvl w:val="0"/>
                    <w:numId w:val="12"/>
                  </w:numPr>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5D6EC6" w:rsidRPr="00557B8C" w:rsidRDefault="005D6EC6" w:rsidP="005D6EC6">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5D6EC6" w:rsidRPr="00557B8C" w:rsidRDefault="005D6EC6" w:rsidP="005D6EC6">
                <w:pPr>
                  <w:spacing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5D6EC6"/>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5D6EC6"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5D6EC6">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5D6EC6">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5D6EC6">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D5622"/>
    <w:multiLevelType w:val="hybridMultilevel"/>
    <w:tmpl w:val="61EE7D54"/>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3B171AD"/>
    <w:multiLevelType w:val="hybridMultilevel"/>
    <w:tmpl w:val="89DAEF20"/>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403EEB"/>
    <w:multiLevelType w:val="multilevel"/>
    <w:tmpl w:val="D61EDFF8"/>
    <w:lvl w:ilvl="0">
      <w:start w:val="1"/>
      <w:numFmt w:val="bullet"/>
      <w:pStyle w:val="Heading5Char"/>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4539AD"/>
    <w:multiLevelType w:val="hybridMultilevel"/>
    <w:tmpl w:val="BD202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094328"/>
    <w:multiLevelType w:val="multilevel"/>
    <w:tmpl w:val="C2FE460C"/>
    <w:numStyleLink w:val="Bullets"/>
  </w:abstractNum>
  <w:abstractNum w:abstractNumId="12"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3" w15:restartNumberingAfterBreak="0">
    <w:nsid w:val="58C83441"/>
    <w:multiLevelType w:val="multilevel"/>
    <w:tmpl w:val="D6004FE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5A995A96"/>
    <w:multiLevelType w:val="hybridMultilevel"/>
    <w:tmpl w:val="E0C0CD32"/>
    <w:lvl w:ilvl="0" w:tplc="34B0B7E2">
      <w:start w:val="1"/>
      <w:numFmt w:val="bullet"/>
      <w:lvlText w:val="­"/>
      <w:lvlJc w:val="left"/>
      <w:pPr>
        <w:ind w:left="360" w:hanging="360"/>
      </w:pPr>
      <w:rPr>
        <w:rFonts w:ascii="Courier New" w:hAnsi="Courier New"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
  </w:num>
  <w:num w:numId="2">
    <w:abstractNumId w:val="0"/>
  </w:num>
  <w:num w:numId="3">
    <w:abstractNumId w:val="10"/>
  </w:num>
  <w:num w:numId="4">
    <w:abstractNumId w:val="7"/>
  </w:num>
  <w:num w:numId="5">
    <w:abstractNumId w:val="12"/>
  </w:num>
  <w:num w:numId="6">
    <w:abstractNumId w:val="11"/>
  </w:num>
  <w:num w:numId="7">
    <w:abstractNumId w:val="2"/>
  </w:num>
  <w:num w:numId="8">
    <w:abstractNumId w:val="15"/>
  </w:num>
  <w:num w:numId="9">
    <w:abstractNumId w:val="16"/>
  </w:num>
  <w:num w:numId="10">
    <w:abstractNumId w:val="14"/>
  </w:num>
  <w:num w:numId="11">
    <w:abstractNumId w:val="1"/>
  </w:num>
  <w:num w:numId="12">
    <w:abstractNumId w:val="9"/>
  </w:num>
  <w:num w:numId="13">
    <w:abstractNumId w:val="8"/>
  </w:num>
  <w:num w:numId="14">
    <w:abstractNumId w:val="6"/>
    <w:lvlOverride w:ilvl="0">
      <w:lvl w:ilvl="0">
        <w:start w:val="1"/>
        <w:numFmt w:val="bullet"/>
        <w:pStyle w:val="Heading5Char"/>
        <w:lvlText w:val=""/>
        <w:lvlJc w:val="left"/>
        <w:pPr>
          <w:ind w:left="360" w:hanging="360"/>
        </w:pPr>
        <w:rPr>
          <w:rFonts w:ascii="Symbol" w:hAnsi="Symbol" w:hint="default"/>
          <w:color w:val="0F5CA2" w:themeColor="accent1"/>
        </w:rPr>
      </w:lvl>
    </w:lvlOverride>
  </w:num>
  <w:num w:numId="15">
    <w:abstractNumId w:val="13"/>
  </w:num>
  <w:num w:numId="16">
    <w:abstractNumId w:val="3"/>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29C9"/>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57B8C"/>
    <w:rsid w:val="0056004A"/>
    <w:rsid w:val="0056129F"/>
    <w:rsid w:val="005619DA"/>
    <w:rsid w:val="005655C9"/>
    <w:rsid w:val="00566CBE"/>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D6EC6"/>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5E7"/>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C7B7D"/>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2D24"/>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0" ma:contentTypeDescription="Create a new document." ma:contentTypeScope="" ma:versionID="75efae26202611d8a1789930186f60a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1798671A-E192-45EC-AF69-ADA2388120C3}"/>
</file>

<file path=customXml/itemProps5.xml><?xml version="1.0" encoding="utf-8"?>
<ds:datastoreItem xmlns:ds="http://schemas.openxmlformats.org/officeDocument/2006/customXml" ds:itemID="{A14C3751-2DB7-4747-BE79-DD1A321E7C87}"/>
</file>

<file path=customXml/itemProps6.xml><?xml version="1.0" encoding="utf-8"?>
<ds:datastoreItem xmlns:ds="http://schemas.openxmlformats.org/officeDocument/2006/customXml" ds:itemID="{2C3D6555-6703-4787-87C1-947C07DEC594}"/>
</file>

<file path=docProps/app.xml><?xml version="1.0" encoding="utf-8"?>
<Properties xmlns="http://schemas.openxmlformats.org/officeDocument/2006/extended-properties" xmlns:vt="http://schemas.openxmlformats.org/officeDocument/2006/docPropsVTypes">
  <Template>QH A4 Portrait Word Template</Template>
  <TotalTime>22</TotalTime>
  <Pages>2</Pages>
  <Words>332</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4</cp:revision>
  <dcterms:created xsi:type="dcterms:W3CDTF">2022-02-28T05:47:00Z</dcterms:created>
  <dcterms:modified xsi:type="dcterms:W3CDTF">2022-02-28T06:09:00Z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