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F023F0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F023F0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F023F0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F023F0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E45740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0DCBC37" w14:textId="77777777" w:rsidR="00261F2E" w:rsidRDefault="00261F2E" w:rsidP="00E45740">
                <w:pPr>
                  <w:spacing w:before="40" w:after="40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Combined CSCF requirements for</w:t>
                </w:r>
              </w:p>
              <w:p w14:paraId="3A287C0F" w14:textId="2AD1A59E" w:rsidR="00AE772F" w:rsidRPr="00261F2E" w:rsidRDefault="00261F2E" w:rsidP="00261F2E">
                <w:pPr>
                  <w:pStyle w:val="ListParagraph"/>
                  <w:numPr>
                    <w:ilvl w:val="0"/>
                    <w:numId w:val="33"/>
                  </w:numPr>
                  <w:spacing w:before="40" w:after="40"/>
                  <w:rPr>
                    <w:b/>
                    <w:sz w:val="22"/>
                    <w:szCs w:val="22"/>
                  </w:rPr>
                </w:pPr>
                <w:r w:rsidRPr="00261F2E">
                  <w:rPr>
                    <w:b/>
                    <w:sz w:val="22"/>
                    <w:szCs w:val="22"/>
                  </w:rPr>
                  <w:t>Anae</w:t>
                </w:r>
                <w:r w:rsidR="00AE772F" w:rsidRPr="00261F2E">
                  <w:rPr>
                    <w:b/>
                    <w:sz w:val="22"/>
                    <w:szCs w:val="22"/>
                  </w:rPr>
                  <w:t>sthetic Services</w:t>
                </w:r>
              </w:p>
              <w:p w14:paraId="4BCF3436" w14:textId="47CB5BD7" w:rsidR="00E45740" w:rsidRPr="00261F2E" w:rsidRDefault="00AE772F" w:rsidP="00261F2E">
                <w:pPr>
                  <w:pStyle w:val="ListParagraph"/>
                  <w:numPr>
                    <w:ilvl w:val="0"/>
                    <w:numId w:val="33"/>
                  </w:numPr>
                  <w:spacing w:before="40" w:after="40"/>
                  <w:rPr>
                    <w:b/>
                    <w:sz w:val="22"/>
                    <w:szCs w:val="22"/>
                  </w:rPr>
                </w:pPr>
                <w:r w:rsidRPr="00261F2E">
                  <w:rPr>
                    <w:b/>
                    <w:sz w:val="22"/>
                    <w:szCs w:val="22"/>
                  </w:rPr>
                  <w:t xml:space="preserve">Perioperative </w:t>
                </w:r>
                <w:r w:rsidR="002B5765" w:rsidRPr="00261F2E">
                  <w:rPr>
                    <w:b/>
                    <w:sz w:val="22"/>
                    <w:szCs w:val="22"/>
                  </w:rPr>
                  <w:t xml:space="preserve">Day Surgery </w:t>
                </w:r>
                <w:r w:rsidR="00E45740" w:rsidRPr="00261F2E">
                  <w:rPr>
                    <w:b/>
                    <w:sz w:val="22"/>
                    <w:szCs w:val="22"/>
                  </w:rPr>
                  <w:t xml:space="preserve">Services </w:t>
                </w:r>
              </w:p>
              <w:p w14:paraId="6E1A54DF" w14:textId="6121A569" w:rsidR="00AE772F" w:rsidRPr="00261F2E" w:rsidRDefault="00AE772F" w:rsidP="00261F2E">
                <w:pPr>
                  <w:pStyle w:val="ListParagraph"/>
                  <w:numPr>
                    <w:ilvl w:val="0"/>
                    <w:numId w:val="33"/>
                  </w:num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 w:rsidRPr="00261F2E">
                  <w:rPr>
                    <w:b/>
                    <w:bCs/>
                    <w:sz w:val="22"/>
                    <w:szCs w:val="22"/>
                  </w:rPr>
                  <w:t>Perioperative Post-Anaesthetic Services</w:t>
                </w:r>
                <w:r w:rsidR="00261F2E" w:rsidRPr="00261F2E">
                  <w:rPr>
                    <w:b/>
                    <w:bCs/>
                    <w:sz w:val="22"/>
                    <w:szCs w:val="22"/>
                  </w:rPr>
                  <w:t xml:space="preserve"> (PACU)</w:t>
                </w:r>
              </w:p>
            </w:tc>
          </w:tr>
          <w:tr w:rsidR="00E45740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E45740" w:rsidRPr="00BE5433" w:rsidRDefault="00E45740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00149102" w:rsidR="00E45740" w:rsidRPr="00B3484E" w:rsidRDefault="002B5765" w:rsidP="00E45740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Level 3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25083D18" w:rsidR="00294B2A" w:rsidRPr="00AE772F" w:rsidRDefault="00AE772F" w:rsidP="00AE772F">
                <w:pPr>
                  <w:pStyle w:val="ListBullet"/>
                  <w:numPr>
                    <w:ilvl w:val="0"/>
                    <w:numId w:val="26"/>
                  </w:numPr>
                  <w:rPr>
                    <w:b/>
                    <w:bCs/>
                    <w:kern w:val="19"/>
                    <w:sz w:val="19"/>
                    <w:szCs w:val="19"/>
                  </w:rPr>
                </w:pPr>
                <w:r w:rsidRPr="00AE772F">
                  <w:rPr>
                    <w:sz w:val="19"/>
                    <w:szCs w:val="19"/>
                  </w:rPr>
                  <w:t>generally provides elective surgery or other procedures.</w:t>
                </w:r>
                <w:r w:rsidRPr="00AE772F">
                  <w:rPr>
                    <w:kern w:val="19"/>
                    <w:sz w:val="19"/>
                    <w:szCs w:val="19"/>
                  </w:rPr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BF32A8" w:rsidRDefault="00294B2A" w:rsidP="00294B2A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F286C63" w14:textId="48733AF2" w:rsidR="00AE772F" w:rsidRDefault="00294B2A" w:rsidP="00294B2A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</w:t>
                </w:r>
                <w:r w:rsidR="00AE772F">
                  <w:rPr>
                    <w:color w:val="006D35" w:themeColor="accent6" w:themeShade="BF"/>
                    <w:sz w:val="19"/>
                    <w:szCs w:val="19"/>
                  </w:rPr>
                  <w:t xml:space="preserve"> types of </w:t>
                </w:r>
                <w:r w:rsidR="005B047B">
                  <w:rPr>
                    <w:color w:val="006D35" w:themeColor="accent6" w:themeShade="BF"/>
                    <w:sz w:val="19"/>
                    <w:szCs w:val="19"/>
                  </w:rPr>
                  <w:t>surgery/procedures performed</w:t>
                </w:r>
              </w:p>
              <w:p w14:paraId="1E513C37" w14:textId="720D1A23" w:rsidR="00294B2A" w:rsidRPr="00BF32A8" w:rsidRDefault="00AE772F" w:rsidP="00294B2A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Attach admission policy/criteria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0CEC011" w14:textId="77777777" w:rsidR="00AE772F" w:rsidRPr="00AE772F" w:rsidRDefault="00AE772F" w:rsidP="00AE772F">
                <w:pPr>
                  <w:pStyle w:val="BulletList2Column"/>
                  <w:numPr>
                    <w:ilvl w:val="0"/>
                    <w:numId w:val="26"/>
                  </w:numPr>
                  <w:rPr>
                    <w:b/>
                    <w:bCs/>
                    <w:szCs w:val="19"/>
                  </w:rPr>
                </w:pPr>
                <w:r w:rsidRPr="00AE772F">
                  <w:rPr>
                    <w:szCs w:val="19"/>
                  </w:rPr>
                  <w:t>manages low- to medium-risk patients with:</w:t>
                </w:r>
              </w:p>
              <w:p w14:paraId="36AB1502" w14:textId="77777777" w:rsidR="00AE772F" w:rsidRPr="00AE772F" w:rsidRDefault="00AE772F" w:rsidP="00AE772F">
                <w:pPr>
                  <w:pStyle w:val="BulletList2Column"/>
                  <w:numPr>
                    <w:ilvl w:val="1"/>
                    <w:numId w:val="27"/>
                  </w:numPr>
                  <w:rPr>
                    <w:b/>
                    <w:bCs/>
                    <w:szCs w:val="19"/>
                  </w:rPr>
                </w:pPr>
                <w:r w:rsidRPr="00AE772F">
                  <w:rPr>
                    <w:szCs w:val="19"/>
                  </w:rPr>
                  <w:t>day surgical complexity I, II and III procedural requirements through provision of day-only surgery and use of local anaesthetic, sedation and general anaesthetic or combinations of these.</w:t>
                </w:r>
              </w:p>
              <w:p w14:paraId="52447326" w14:textId="1348B645" w:rsidR="00294B2A" w:rsidRPr="00AE772F" w:rsidRDefault="00AE772F" w:rsidP="00AE772F">
                <w:pPr>
                  <w:pStyle w:val="ListBullet"/>
                  <w:numPr>
                    <w:ilvl w:val="1"/>
                    <w:numId w:val="27"/>
                  </w:numPr>
                  <w:rPr>
                    <w:b/>
                    <w:bCs/>
                    <w:sz w:val="19"/>
                    <w:szCs w:val="19"/>
                  </w:rPr>
                </w:pPr>
                <w:r w:rsidRPr="00AE772F">
                  <w:rPr>
                    <w:sz w:val="19"/>
                    <w:szCs w:val="19"/>
                  </w:rPr>
                  <w:t xml:space="preserve">ASA physical status of 3, treated in freestanding day hospital, only if they are medically stable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F4733A" w:rsidRDefault="00294B2A" w:rsidP="00294B2A">
                <w:pPr>
                  <w:tabs>
                    <w:tab w:val="left" w:pos="720"/>
                  </w:tabs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2D608EB7" w:rsidR="00294B2A" w:rsidRPr="00AE772F" w:rsidRDefault="00AE772F" w:rsidP="00294B2A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AE772F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Freestanding day hospitals require at least one operating room and a separate recovery room when performing surgical complexity III procedures.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3F5795" w:rsidRDefault="00294B2A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17F6A461" w:rsidR="00294B2A" w:rsidRPr="00D34760" w:rsidRDefault="00D34760" w:rsidP="00D34760">
                <w:pPr>
                  <w:pStyle w:val="BulletList2Column"/>
                  <w:numPr>
                    <w:ilvl w:val="0"/>
                    <w:numId w:val="20"/>
                  </w:numPr>
                  <w:rPr>
                    <w:b/>
                    <w:bCs/>
                  </w:rPr>
                </w:pPr>
                <w:r w:rsidRPr="00E345F8">
                  <w:t>awareness of surgical complexity and combination of anaesthetic risk allowable at the service level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705CDC7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52D14E" w14:textId="405F8BF8" w:rsidR="00294B2A" w:rsidRPr="00D34760" w:rsidRDefault="00D34760" w:rsidP="00294B2A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D34760">
                  <w:rPr>
                    <w:rFonts w:ascii="Fira Sans" w:hAnsi="Fira Sans"/>
                    <w:sz w:val="19"/>
                    <w:szCs w:val="19"/>
                  </w:rPr>
                  <w:t>appropriate cleaning and sterilisation service for reusable medical and surgical instruments, and equipment as per AS/NZS 4187 or policy pertaining to use of pre-packaged and sterile set-ups, or documented process with an external supplier for cleaning and sterilisation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34A40F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D869DB4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67C8C7D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58234B8" w14:textId="6FBDBEAD" w:rsidR="00294B2A" w:rsidRPr="00D34760" w:rsidRDefault="00D34760" w:rsidP="00D34760">
                <w:pPr>
                  <w:pStyle w:val="BulletList2Column"/>
                  <w:numPr>
                    <w:ilvl w:val="0"/>
                    <w:numId w:val="20"/>
                  </w:numPr>
                  <w:rPr>
                    <w:b/>
                    <w:bCs/>
                  </w:rPr>
                </w:pPr>
                <w:r>
                  <w:t>r</w:t>
                </w:r>
                <w:r w:rsidRPr="002E20AE">
                  <w:t>ecovery from anaesthesia occurs in a post-anaesthetic recovery area</w:t>
                </w:r>
                <w:r>
                  <w:t xml:space="preserve">, </w:t>
                </w:r>
                <w:r w:rsidRPr="002E20AE">
                  <w:t xml:space="preserve">equipped and staffed as per ANZCA </w:t>
                </w:r>
                <w:r>
                  <w:t>Guidelines.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2D43F2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94713B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25DC693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68CA0" w14:textId="111A5520" w:rsidR="00294B2A" w:rsidRPr="00D34760" w:rsidRDefault="00D34760" w:rsidP="00294B2A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D34760">
                  <w:rPr>
                    <w:rFonts w:ascii="Fira Sans" w:hAnsi="Fira Sans"/>
                    <w:sz w:val="19"/>
                    <w:szCs w:val="19"/>
                  </w:rPr>
                  <w:t>immediate access to registered medical practitioner with credentials in anaesthetics to attend emergencies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BDAFA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908E8EC" w14:textId="3B28736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0D51E6C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CB83D4" w14:textId="77777777" w:rsidR="00D34760" w:rsidRPr="00E345F8" w:rsidRDefault="00D34760" w:rsidP="00D34760">
                <w:pPr>
                  <w:pStyle w:val="BulletList2Column"/>
                  <w:numPr>
                    <w:ilvl w:val="0"/>
                    <w:numId w:val="20"/>
                  </w:numPr>
                  <w:rPr>
                    <w:b/>
                    <w:bCs/>
                  </w:rPr>
                </w:pPr>
                <w:r w:rsidRPr="00E345F8">
                  <w:t>written policies, procedures and protocols for:</w:t>
                </w:r>
              </w:p>
              <w:p w14:paraId="678D230C" w14:textId="77777777" w:rsidR="00D34760" w:rsidRPr="00BA6B86" w:rsidRDefault="00D34760" w:rsidP="00E932AD">
                <w:pPr>
                  <w:pStyle w:val="BulletList2Column"/>
                  <w:numPr>
                    <w:ilvl w:val="1"/>
                    <w:numId w:val="28"/>
                  </w:numPr>
                  <w:ind w:left="731"/>
                  <w:rPr>
                    <w:b/>
                    <w:bCs/>
                  </w:rPr>
                </w:pPr>
                <w:r w:rsidRPr="00E345F8">
                  <w:t>post-anaesthetic</w:t>
                </w:r>
                <w:r w:rsidRPr="00046524">
                  <w:rPr>
                    <w:sz w:val="20"/>
                    <w:szCs w:val="20"/>
                  </w:rPr>
                  <w:t xml:space="preserve"> </w:t>
                </w:r>
                <w:r w:rsidRPr="00E345F8">
                  <w:t xml:space="preserve">patient care (including emergency situations) </w:t>
                </w:r>
              </w:p>
              <w:p w14:paraId="2C8664B1" w14:textId="77777777" w:rsidR="00D34760" w:rsidRPr="00E345F8" w:rsidRDefault="00D34760" w:rsidP="00E932AD">
                <w:pPr>
                  <w:pStyle w:val="BulletList2Column"/>
                  <w:numPr>
                    <w:ilvl w:val="1"/>
                    <w:numId w:val="28"/>
                  </w:numPr>
                  <w:ind w:left="731"/>
                  <w:rPr>
                    <w:b/>
                    <w:bCs/>
                  </w:rPr>
                </w:pPr>
                <w:r w:rsidRPr="00BA6B86">
                  <w:t>paediatric patients</w:t>
                </w:r>
              </w:p>
              <w:p w14:paraId="3AD1B244" w14:textId="77777777" w:rsidR="00D34760" w:rsidRPr="00E345F8" w:rsidRDefault="00D34760" w:rsidP="00E932AD">
                <w:pPr>
                  <w:pStyle w:val="BulletList2Column"/>
                  <w:numPr>
                    <w:ilvl w:val="1"/>
                    <w:numId w:val="28"/>
                  </w:numPr>
                  <w:ind w:left="731"/>
                  <w:rPr>
                    <w:b/>
                    <w:bCs/>
                  </w:rPr>
                </w:pPr>
                <w:r w:rsidRPr="00E345F8">
                  <w:t>use of pain and post-operative nausea and vomiting protocols</w:t>
                </w:r>
              </w:p>
              <w:p w14:paraId="13BE629E" w14:textId="3E4FA17B" w:rsidR="00294B2A" w:rsidRPr="00D34760" w:rsidRDefault="00D34760" w:rsidP="00E932AD">
                <w:pPr>
                  <w:pStyle w:val="BulletList2Column"/>
                  <w:numPr>
                    <w:ilvl w:val="1"/>
                    <w:numId w:val="28"/>
                  </w:numPr>
                  <w:ind w:left="731"/>
                  <w:rPr>
                    <w:b/>
                    <w:bCs/>
                  </w:rPr>
                </w:pPr>
                <w:r w:rsidRPr="00E345F8">
                  <w:t xml:space="preserve">suitable infection control, and isolation procedures.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9D9FAE1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A7A350D" w14:textId="19DFFBCE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94B2A" w:rsidRPr="00371A1D" w14:paraId="1F3F231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E890E6" w14:textId="77777777" w:rsidR="00D34760" w:rsidRPr="00E345F8" w:rsidRDefault="00D34760" w:rsidP="00D34760">
                <w:pPr>
                  <w:pStyle w:val="BulletList2Column"/>
                  <w:numPr>
                    <w:ilvl w:val="0"/>
                    <w:numId w:val="11"/>
                  </w:numPr>
                  <w:rPr>
                    <w:b/>
                    <w:bCs/>
                  </w:rPr>
                </w:pPr>
                <w:r w:rsidRPr="00E345F8">
                  <w:t>Equipment required:</w:t>
                </w:r>
              </w:p>
              <w:p w14:paraId="7D0B91CE" w14:textId="77777777" w:rsidR="00D34760" w:rsidRPr="00E345F8" w:rsidRDefault="00D34760" w:rsidP="00E932AD">
                <w:pPr>
                  <w:pStyle w:val="BulletList2Column"/>
                  <w:numPr>
                    <w:ilvl w:val="1"/>
                    <w:numId w:val="29"/>
                  </w:numPr>
                  <w:ind w:left="731"/>
                  <w:rPr>
                    <w:b/>
                    <w:bCs/>
                  </w:rPr>
                </w:pPr>
                <w:r w:rsidRPr="00E345F8">
                  <w:t xml:space="preserve">dedicated resuscitation trolley with defibrillator, airway management equipment and resuscitation drugs, and the means to deliver those drugs immediately is available </w:t>
                </w:r>
              </w:p>
              <w:p w14:paraId="3FE58C43" w14:textId="77777777" w:rsidR="00D34760" w:rsidRPr="00E345F8" w:rsidRDefault="00D34760" w:rsidP="00E932AD">
                <w:pPr>
                  <w:pStyle w:val="BulletList2Column"/>
                  <w:numPr>
                    <w:ilvl w:val="1"/>
                    <w:numId w:val="30"/>
                  </w:numPr>
                  <w:ind w:left="731"/>
                  <w:rPr>
                    <w:b/>
                    <w:bCs/>
                  </w:rPr>
                </w:pPr>
                <w:r>
                  <w:lastRenderedPageBreak/>
                  <w:t>i</w:t>
                </w:r>
                <w:r w:rsidRPr="00E345F8">
                  <w:t xml:space="preserve">mmediate access to anaesthetic machine for emergency ventilation only and not for long-term ventilation. </w:t>
                </w:r>
              </w:p>
              <w:p w14:paraId="6442CD11" w14:textId="77777777" w:rsidR="00D34760" w:rsidRPr="00E345F8" w:rsidRDefault="00D34760" w:rsidP="00E932AD">
                <w:pPr>
                  <w:pStyle w:val="BulletList2Column"/>
                  <w:numPr>
                    <w:ilvl w:val="1"/>
                    <w:numId w:val="30"/>
                  </w:numPr>
                  <w:ind w:left="731"/>
                  <w:rPr>
                    <w:b/>
                    <w:bCs/>
                  </w:rPr>
                </w:pPr>
                <w:r w:rsidRPr="00E345F8">
                  <w:t xml:space="preserve">supply of emergency drugs and capacity for telephone consultation with clinical pharmacist. </w:t>
                </w:r>
              </w:p>
              <w:p w14:paraId="6BF17F13" w14:textId="739DDD35" w:rsidR="00294B2A" w:rsidRPr="00D34760" w:rsidRDefault="00D34760" w:rsidP="00E932AD">
                <w:pPr>
                  <w:pStyle w:val="BulletList2Column"/>
                  <w:numPr>
                    <w:ilvl w:val="1"/>
                    <w:numId w:val="30"/>
                  </w:numPr>
                  <w:ind w:left="731"/>
                  <w:rPr>
                    <w:b/>
                    <w:bCs/>
                  </w:rPr>
                </w:pPr>
                <w:r>
                  <w:t>i</w:t>
                </w:r>
                <w:r w:rsidRPr="00E345F8">
                  <w:t xml:space="preserve">nformation technology supporting electronic record-keeping may be available.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AA4F7E9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5C770CD" w14:textId="77777777" w:rsidR="00294B2A" w:rsidRPr="00294B2A" w:rsidRDefault="00294B2A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D34760" w:rsidRPr="00371A1D" w14:paraId="3CA8D137" w14:textId="77777777" w:rsidTr="00C06F4C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6D9629B" w14:textId="2BF99E0F" w:rsidR="00D34760" w:rsidRPr="00D34760" w:rsidRDefault="00D34760" w:rsidP="00294B2A">
                <w:pPr>
                  <w:tabs>
                    <w:tab w:val="left" w:pos="720"/>
                  </w:tabs>
                  <w:rPr>
                    <w:b/>
                    <w:bCs/>
                    <w:color w:val="auto"/>
                    <w:sz w:val="19"/>
                    <w:szCs w:val="19"/>
                  </w:rPr>
                </w:pPr>
                <w:r w:rsidRPr="00D34760">
                  <w:rPr>
                    <w:b/>
                    <w:bCs/>
                    <w:sz w:val="19"/>
                    <w:szCs w:val="19"/>
                  </w:rPr>
                  <w:t xml:space="preserve">Children’s post-anaesthetic </w:t>
                </w:r>
                <w:r w:rsidR="00096E2A" w:rsidRPr="00D34760">
                  <w:rPr>
                    <w:b/>
                    <w:bCs/>
                    <w:sz w:val="19"/>
                    <w:szCs w:val="19"/>
                  </w:rPr>
                  <w:t xml:space="preserve">specific </w:t>
                </w:r>
                <w:r w:rsidRPr="00D34760">
                  <w:rPr>
                    <w:b/>
                    <w:bCs/>
                    <w:sz w:val="19"/>
                    <w:szCs w:val="19"/>
                  </w:rPr>
                  <w:t>requirements:</w:t>
                </w:r>
              </w:p>
            </w:tc>
          </w:tr>
          <w:tr w:rsidR="00294B2A" w:rsidRPr="00371A1D" w14:paraId="09E57E6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6EFCF4" w14:textId="14B19A30" w:rsidR="00294B2A" w:rsidRPr="00D34760" w:rsidRDefault="00D34760" w:rsidP="00D34760">
                <w:pPr>
                  <w:pStyle w:val="BulletList2Column"/>
                  <w:numPr>
                    <w:ilvl w:val="0"/>
                    <w:numId w:val="20"/>
                  </w:numPr>
                  <w:rPr>
                    <w:b/>
                    <w:bCs/>
                  </w:rPr>
                </w:pPr>
                <w:r w:rsidRPr="002B481E">
                  <w:t>minimum of two registered nurses present in the post-anaesthetic recovery area at all times when a patient admitted to the unit</w:t>
                </w:r>
                <w:r>
                  <w:t>.</w:t>
                </w:r>
                <w:r w:rsidRPr="002B481E">
                  <w:t xml:space="preserve">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EAEB8A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65AF13D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61A73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2F6666" w14:textId="7165A95A" w:rsidR="00294B2A" w:rsidRPr="00D34760" w:rsidRDefault="00D34760" w:rsidP="00294B2A">
                <w:pPr>
                  <w:pStyle w:val="ListParagraph"/>
                  <w:numPr>
                    <w:ilvl w:val="0"/>
                    <w:numId w:val="11"/>
                  </w:num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D34760">
                  <w:rPr>
                    <w:sz w:val="19"/>
                    <w:szCs w:val="19"/>
                  </w:rPr>
                  <w:t>staff able to contact supervising registered medical practitioners and/or other relevant registered health professionals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78323D" w14:textId="77777777" w:rsidR="00294B2A" w:rsidRPr="00BF32A8" w:rsidRDefault="00294B2A" w:rsidP="00294B2A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2C5089" w14:textId="77777777" w:rsidR="00294B2A" w:rsidRPr="00F35279" w:rsidRDefault="00294B2A" w:rsidP="00294B2A">
                <w:pPr>
                  <w:tabs>
                    <w:tab w:val="left" w:pos="720"/>
                  </w:tabs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34C9BCFB" w:rsidR="009E7E12" w:rsidRPr="003F5795" w:rsidRDefault="00F35279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9E7E12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0E788F05" w:rsidR="009E7E12" w:rsidRPr="00D34760" w:rsidRDefault="00D34760" w:rsidP="00D34760">
                <w:pPr>
                  <w:pStyle w:val="BulletList2Column"/>
                  <w:numPr>
                    <w:ilvl w:val="0"/>
                    <w:numId w:val="11"/>
                  </w:numPr>
                  <w:rPr>
                    <w:b/>
                    <w:bCs/>
                  </w:rPr>
                </w:pPr>
                <w:r w:rsidRPr="006E0298">
                  <w:t xml:space="preserve">staff in day surgeries who work as part of a team, with minimum of three staff members rostered to operating room / procedure room: one registered nurse, one assistant to the anaesthetist, and one staff member (registered or enrolled nurse) trained and competent in the role in which they are rostered.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BF32A8" w:rsidRDefault="009E7E12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294B2A" w:rsidRDefault="009E7E12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2E1A88" w:rsidRPr="00371A1D" w14:paraId="55A4B00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3E9B8B5" w14:textId="00CDB507" w:rsidR="002E1A88" w:rsidRPr="006E0298" w:rsidRDefault="002E1A88" w:rsidP="00D34760">
                <w:pPr>
                  <w:pStyle w:val="BulletList2Column"/>
                  <w:numPr>
                    <w:ilvl w:val="0"/>
                    <w:numId w:val="11"/>
                  </w:numPr>
                </w:pPr>
                <w:r>
                  <w:t>procedures performed by registered health professionals authorised under legislation who are credentialled with individual hospital, qualified and experienced to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85FBC76" w14:textId="77777777" w:rsidR="002E1A88" w:rsidRPr="00BF32A8" w:rsidRDefault="002E1A88" w:rsidP="00E45740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BCDEA5C" w14:textId="77777777" w:rsidR="002E1A88" w:rsidRPr="00294B2A" w:rsidRDefault="002E1A88" w:rsidP="00294B2A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4847A8BA" w:rsidR="009E7E12" w:rsidRPr="00D34760" w:rsidRDefault="00D34760" w:rsidP="00D34760">
                <w:pPr>
                  <w:pStyle w:val="BulletList2Column"/>
                  <w:numPr>
                    <w:ilvl w:val="0"/>
                    <w:numId w:val="22"/>
                  </w:numPr>
                  <w:rPr>
                    <w:b/>
                    <w:bCs/>
                  </w:rPr>
                </w:pPr>
                <w:r w:rsidRPr="00484C7E">
                  <w:t xml:space="preserve">registered medical specialists with credentials in surgery and/or surgical subspecialties appropriate to services provided </w:t>
                </w:r>
                <w:r w:rsidRPr="00484C7E">
                  <w:lastRenderedPageBreak/>
                  <w:t>(e.g. ears, nose and throat or ophthalmology).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3A63B1A4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28A5954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3ABA02" w14:textId="49EAFCFC" w:rsidR="009E7E12" w:rsidRPr="00D34760" w:rsidRDefault="00D34760" w:rsidP="009E7E12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D34760">
                  <w:rPr>
                    <w:rFonts w:ascii="Fira Sans" w:hAnsi="Fira Sans"/>
                    <w:sz w:val="19"/>
                    <w:szCs w:val="19"/>
                  </w:rPr>
                  <w:t>registered medical practitioners with credentials in anaesthetics, available in facilities until patient fully recovered from anaesthesia and patient’s airway is patent and maintained.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CFEB8F0" w14:textId="77777777" w:rsidR="009E7E12" w:rsidRPr="00BF32A8" w:rsidRDefault="009E7E12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09C3B4" w14:textId="77777777" w:rsidR="009E7E12" w:rsidRPr="00BF32A8" w:rsidRDefault="009E7E12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D34760" w:rsidRPr="00371A1D" w14:paraId="158DD7E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CCA93EA" w14:textId="64D2CCA6" w:rsidR="00D34760" w:rsidRPr="00D34760" w:rsidRDefault="00D34760" w:rsidP="009E7E12">
                <w:pPr>
                  <w:pStyle w:val="Default"/>
                  <w:numPr>
                    <w:ilvl w:val="0"/>
                    <w:numId w:val="22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D34760">
                  <w:rPr>
                    <w:rFonts w:ascii="Fira Sans" w:hAnsi="Fira Sans"/>
                    <w:sz w:val="19"/>
                    <w:szCs w:val="19"/>
                  </w:rPr>
                  <w:t>procedures performed by registered health practitioners authorised under legislation who are credentialed with individual hospital, qualified and experienced to level of service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29943B0" w14:textId="77777777" w:rsidR="00D34760" w:rsidRPr="00BF32A8" w:rsidRDefault="00D34760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C67BF2" w14:textId="77777777" w:rsidR="00D34760" w:rsidRPr="00BF32A8" w:rsidRDefault="00D34760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D34760" w:rsidRPr="00371A1D" w14:paraId="199E4095" w14:textId="77777777" w:rsidTr="00C9112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3B88A4B" w14:textId="38A43BC4" w:rsidR="00D34760" w:rsidRPr="00D34760" w:rsidRDefault="00D34760" w:rsidP="00D34760">
                <w:pPr>
                  <w:pStyle w:val="ListBullet"/>
                  <w:numPr>
                    <w:ilvl w:val="0"/>
                    <w:numId w:val="0"/>
                  </w:numPr>
                  <w:rPr>
                    <w:rFonts w:cs="Arial"/>
                    <w:b/>
                    <w:bCs/>
                    <w:color w:val="auto"/>
                    <w:sz w:val="19"/>
                    <w:szCs w:val="19"/>
                  </w:rPr>
                </w:pPr>
                <w:r w:rsidRPr="00D34760">
                  <w:rPr>
                    <w:rFonts w:cs="Arial"/>
                    <w:b/>
                    <w:bCs/>
                    <w:sz w:val="19"/>
                    <w:szCs w:val="19"/>
                  </w:rPr>
                  <w:t xml:space="preserve">Children’s </w:t>
                </w:r>
                <w:r w:rsidR="00F023F0">
                  <w:rPr>
                    <w:rFonts w:cs="Arial"/>
                    <w:b/>
                    <w:bCs/>
                    <w:sz w:val="19"/>
                    <w:szCs w:val="19"/>
                  </w:rPr>
                  <w:t xml:space="preserve">Medical </w:t>
                </w:r>
                <w:r w:rsidRPr="00D34760">
                  <w:rPr>
                    <w:rFonts w:cs="Arial"/>
                    <w:b/>
                    <w:bCs/>
                    <w:sz w:val="19"/>
                    <w:szCs w:val="19"/>
                  </w:rPr>
                  <w:t>specific requirements:</w:t>
                </w:r>
              </w:p>
            </w:tc>
          </w:tr>
          <w:tr w:rsidR="00D34760" w:rsidRPr="00371A1D" w14:paraId="080CE4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2045BB" w14:textId="4290E5EC" w:rsidR="00D34760" w:rsidRPr="00E932AD" w:rsidRDefault="00D34760" w:rsidP="00D34760">
                <w:pPr>
                  <w:pStyle w:val="BulletList2Column"/>
                  <w:numPr>
                    <w:ilvl w:val="0"/>
                    <w:numId w:val="22"/>
                  </w:numPr>
                  <w:rPr>
                    <w:b/>
                    <w:bCs/>
                  </w:rPr>
                </w:pPr>
                <w:r w:rsidRPr="00E932AD">
                  <w:t xml:space="preserve">registered medical practitioner remaining on-site until patient recovered from anaesthesia and meets PACU discharge criteria, as per facility guidelines and ANZCA PS417.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C1FFA36" w14:textId="77777777" w:rsidR="00D34760" w:rsidRPr="00BF32A8" w:rsidRDefault="00D34760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1CEDD4E" w14:textId="77777777" w:rsidR="00D34760" w:rsidRPr="00BF32A8" w:rsidRDefault="00D34760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D34760" w:rsidRPr="00371A1D" w14:paraId="11A9DEF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A91903" w14:textId="6D29BB79" w:rsidR="00D34760" w:rsidRPr="00E932AD" w:rsidRDefault="00D34760" w:rsidP="00D34760">
                <w:pPr>
                  <w:pStyle w:val="BulletList2Column"/>
                  <w:numPr>
                    <w:ilvl w:val="0"/>
                    <w:numId w:val="22"/>
                  </w:numPr>
                  <w:rPr>
                    <w:b/>
                    <w:bCs/>
                  </w:rPr>
                </w:pPr>
                <w:r w:rsidRPr="00E932AD">
                  <w:t>registered medical specialist with credentials in anaesthesia and working in their scope of practice must remain on-site until child between 1 and 2 years of age recovering from surgical complexity III with low anaesthetic risk procedures has fully recovered and been discharged from post-anaesthetic care area during business hours,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318AD6" w14:textId="77777777" w:rsidR="00D34760" w:rsidRPr="00BF32A8" w:rsidRDefault="00D34760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AA83299" w14:textId="77777777" w:rsidR="00D34760" w:rsidRPr="00BF32A8" w:rsidRDefault="00D34760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BF32A8" w:rsidRDefault="00BF32A8" w:rsidP="00BF32A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45190A6B" w:rsidR="00887948" w:rsidRPr="00D34760" w:rsidRDefault="00D34760" w:rsidP="00D34760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006B3">
                  <w:t xml:space="preserve">suitably qualified and experienced nurse manager in charge of unit.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9A037AA" w:rsidR="00887948" w:rsidRPr="00BF32A8" w:rsidRDefault="00887948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887948" w:rsidRPr="00371A1D" w14:paraId="1BD2CBA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1768846" w14:textId="152B52AC" w:rsidR="00887948" w:rsidRPr="00D34760" w:rsidRDefault="00D34760" w:rsidP="00D34760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006B3">
                  <w:t>suitably qualitied experienced registered nurse in charge of each shift.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56B3E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83F9F65" w14:textId="778A20A5" w:rsidR="00887948" w:rsidRPr="00BF32A8" w:rsidRDefault="00294B2A" w:rsidP="0088794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="00D34760" w:rsidRPr="00371A1D" w14:paraId="058318B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BE1A3D" w14:textId="528D0A63" w:rsidR="00D34760" w:rsidRPr="00D34760" w:rsidRDefault="00D34760" w:rsidP="00D34760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006B3">
                  <w:t>suitably qualified and experienced registered nurses on-site during hours of operation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018608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F9BA6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34760" w:rsidRPr="00371A1D" w14:paraId="6ACBA5A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1588737" w14:textId="7D6DA79C" w:rsidR="00D34760" w:rsidRPr="00D34760" w:rsidRDefault="00D34760" w:rsidP="00D34760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006B3">
                  <w:t xml:space="preserve">dedicated PACU registered nurses who are suitably qualified and experienced.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481530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4617B80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34760" w:rsidRPr="00371A1D" w14:paraId="73132C8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60F466C" w14:textId="030779CE" w:rsidR="00D34760" w:rsidRPr="00D34760" w:rsidRDefault="00D34760" w:rsidP="00D34760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006B3">
                  <w:lastRenderedPageBreak/>
                  <w:t xml:space="preserve">access to nursing staff trained in advanced life support and paediatric life support (if relevant).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30D8708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9022A07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73FA6" w:rsidRPr="00371A1D" w14:paraId="104C63E5" w14:textId="77777777" w:rsidTr="003655E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347B08A" w14:textId="66B7C71A" w:rsidR="00C73FA6" w:rsidRPr="00C73FA6" w:rsidRDefault="00C73FA6" w:rsidP="00C73FA6">
                <w:pPr>
                  <w:pStyle w:val="ListBullet"/>
                  <w:numPr>
                    <w:ilvl w:val="0"/>
                    <w:numId w:val="0"/>
                  </w:numPr>
                  <w:rPr>
                    <w:rFonts w:cs="Arial"/>
                    <w:b/>
                    <w:bCs/>
                    <w:color w:val="auto"/>
                    <w:sz w:val="19"/>
                    <w:szCs w:val="19"/>
                  </w:rPr>
                </w:pPr>
                <w:r w:rsidRPr="00C73FA6">
                  <w:rPr>
                    <w:rFonts w:cs="Arial"/>
                    <w:b/>
                    <w:bCs/>
                    <w:color w:val="auto"/>
                    <w:sz w:val="19"/>
                    <w:szCs w:val="19"/>
                  </w:rPr>
                  <w:t xml:space="preserve">Children’s nursing </w:t>
                </w:r>
                <w:r w:rsidR="00F023F0" w:rsidRPr="00C73FA6">
                  <w:rPr>
                    <w:rFonts w:cs="Arial"/>
                    <w:b/>
                    <w:bCs/>
                    <w:color w:val="auto"/>
                    <w:sz w:val="19"/>
                    <w:szCs w:val="19"/>
                  </w:rPr>
                  <w:t xml:space="preserve">specific </w:t>
                </w:r>
                <w:r w:rsidRPr="00C73FA6">
                  <w:rPr>
                    <w:rFonts w:cs="Arial"/>
                    <w:b/>
                    <w:bCs/>
                    <w:color w:val="auto"/>
                    <w:sz w:val="19"/>
                    <w:szCs w:val="19"/>
                  </w:rPr>
                  <w:t>requirements:</w:t>
                </w:r>
              </w:p>
            </w:tc>
          </w:tr>
          <w:tr w:rsidR="00D34760" w:rsidRPr="00371A1D" w14:paraId="1645F91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A0FFC9" w14:textId="09226EA3" w:rsidR="00D34760" w:rsidRPr="00C73FA6" w:rsidRDefault="00C73FA6" w:rsidP="00C73FA6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A6833">
                  <w:t xml:space="preserve">nursing staff with paediatric nursing experience must remain on-site until child between 1 and 2 years of age recovering from surgical complexity III with low anaesthetic risk procedures has fully recovered and been discharged from post-anaesthetic care area.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481B9AF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FBD251E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D34760" w:rsidRPr="00371A1D" w14:paraId="11F90E6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F68FDD" w14:textId="77777777" w:rsidR="00C73FA6" w:rsidRPr="00DA6833" w:rsidRDefault="00C73FA6" w:rsidP="00C73FA6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A6833">
                  <w:t xml:space="preserve">During 1st stage recovery, at reception stage, nursing staff minimum requirements include: </w:t>
                </w:r>
              </w:p>
              <w:p w14:paraId="56F9F0D1" w14:textId="77777777" w:rsidR="00C73FA6" w:rsidRPr="000A49B4" w:rsidRDefault="00C73FA6" w:rsidP="00E932AD">
                <w:pPr>
                  <w:pStyle w:val="BulletList2Column"/>
                  <w:numPr>
                    <w:ilvl w:val="1"/>
                    <w:numId w:val="31"/>
                  </w:numPr>
                  <w:ind w:left="731"/>
                  <w:rPr>
                    <w:b/>
                    <w:bCs/>
                  </w:rPr>
                </w:pPr>
                <w:r w:rsidRPr="000A49B4">
                  <w:t xml:space="preserve">1:1 nurse-patient ratio where patient is uncomplicated, unconscious patient </w:t>
                </w:r>
              </w:p>
              <w:p w14:paraId="4D987278" w14:textId="77777777" w:rsidR="00C73FA6" w:rsidRPr="000A49B4" w:rsidRDefault="00C73FA6" w:rsidP="00E932AD">
                <w:pPr>
                  <w:pStyle w:val="BulletList2Column"/>
                  <w:numPr>
                    <w:ilvl w:val="1"/>
                    <w:numId w:val="31"/>
                  </w:numPr>
                  <w:ind w:left="731"/>
                  <w:rPr>
                    <w:b/>
                    <w:bCs/>
                  </w:rPr>
                </w:pPr>
                <w:r w:rsidRPr="000A49B4">
                  <w:t xml:space="preserve">capacity to manage continued artificial airway support / mechanical ventilation </w:t>
                </w:r>
              </w:p>
              <w:p w14:paraId="6C6C38B0" w14:textId="77777777" w:rsidR="00C73FA6" w:rsidRPr="000A49B4" w:rsidRDefault="00C73FA6" w:rsidP="00E932AD">
                <w:pPr>
                  <w:pStyle w:val="BulletList2Column"/>
                  <w:numPr>
                    <w:ilvl w:val="1"/>
                    <w:numId w:val="31"/>
                  </w:numPr>
                  <w:ind w:left="731"/>
                  <w:rPr>
                    <w:b/>
                    <w:bCs/>
                  </w:rPr>
                </w:pPr>
                <w:r w:rsidRPr="000A49B4">
                  <w:t xml:space="preserve">capacity to manage any paediatric patient regardless of age—paediatric patients require 1:1 nurse-patient ratios in reception stage </w:t>
                </w:r>
              </w:p>
              <w:p w14:paraId="0EC7A2A4" w14:textId="77777777" w:rsidR="00C73FA6" w:rsidRPr="000A49B4" w:rsidRDefault="00C73FA6" w:rsidP="00E932AD">
                <w:pPr>
                  <w:pStyle w:val="BulletList2Column"/>
                  <w:numPr>
                    <w:ilvl w:val="1"/>
                    <w:numId w:val="31"/>
                  </w:numPr>
                  <w:ind w:left="731"/>
                  <w:rPr>
                    <w:b/>
                    <w:bCs/>
                  </w:rPr>
                </w:pPr>
                <w:r w:rsidRPr="000A49B4">
                  <w:t xml:space="preserve">capacity to manage initial phase of intravenous pain protocol administration </w:t>
                </w:r>
              </w:p>
              <w:p w14:paraId="1BB713DE" w14:textId="77777777" w:rsidR="00C73FA6" w:rsidRPr="000A49B4" w:rsidRDefault="00C73FA6" w:rsidP="00E932AD">
                <w:pPr>
                  <w:pStyle w:val="BulletList2Column"/>
                  <w:numPr>
                    <w:ilvl w:val="1"/>
                    <w:numId w:val="31"/>
                  </w:numPr>
                  <w:ind w:left="731"/>
                  <w:rPr>
                    <w:b/>
                    <w:bCs/>
                  </w:rPr>
                </w:pPr>
                <w:r w:rsidRPr="000A49B4">
                  <w:t xml:space="preserve">2:1 nurse-patient ratio or higher may be required when patient is critically ill, unstable or complicated </w:t>
                </w:r>
              </w:p>
              <w:p w14:paraId="1571D7AD" w14:textId="4655BF89" w:rsidR="00D34760" w:rsidRPr="00C73FA6" w:rsidRDefault="00C73FA6" w:rsidP="00E932AD">
                <w:pPr>
                  <w:pStyle w:val="BulletList2Column"/>
                  <w:numPr>
                    <w:ilvl w:val="1"/>
                    <w:numId w:val="31"/>
                  </w:numPr>
                  <w:ind w:left="731"/>
                  <w:rPr>
                    <w:b/>
                    <w:bCs/>
                  </w:rPr>
                </w:pPr>
                <w:r w:rsidRPr="000A49B4">
                  <w:t xml:space="preserve">increased staffing levels until patient’s condition has stabilised may be required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6BC60A" w14:textId="77777777" w:rsidR="00D34760" w:rsidRPr="00BF32A8" w:rsidRDefault="00D34760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0993E56" w14:textId="77777777" w:rsidR="00D34760" w:rsidRPr="00BF32A8" w:rsidRDefault="00D34760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73FA6" w:rsidRPr="00371A1D" w14:paraId="6EC1A9B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3C370F" w14:textId="77777777" w:rsidR="00C73FA6" w:rsidRPr="00DA6833" w:rsidRDefault="00C73FA6" w:rsidP="00C73FA6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A6833">
                  <w:t xml:space="preserve">during 2nd stage recovery, minimum nursing staff requirements include: </w:t>
                </w:r>
              </w:p>
              <w:p w14:paraId="56190574" w14:textId="77777777" w:rsidR="00C73FA6" w:rsidRPr="000A49B4" w:rsidRDefault="00C73FA6" w:rsidP="00E932AD">
                <w:pPr>
                  <w:pStyle w:val="BulletList2Column"/>
                  <w:numPr>
                    <w:ilvl w:val="1"/>
                    <w:numId w:val="32"/>
                  </w:numPr>
                  <w:ind w:left="731"/>
                  <w:rPr>
                    <w:b/>
                    <w:bCs/>
                  </w:rPr>
                </w:pPr>
                <w:r w:rsidRPr="000A49B4">
                  <w:t xml:space="preserve">minimum of two nurses, one of whom is a registered nurse, </w:t>
                </w:r>
                <w:r w:rsidRPr="000A49B4">
                  <w:lastRenderedPageBreak/>
                  <w:t xml:space="preserve">present when patient is present </w:t>
                </w:r>
              </w:p>
              <w:p w14:paraId="18F3062A" w14:textId="77777777" w:rsidR="00C73FA6" w:rsidRPr="000A49B4" w:rsidRDefault="00C73FA6" w:rsidP="00C73FA6">
                <w:pPr>
                  <w:pStyle w:val="BulletList2Column"/>
                  <w:numPr>
                    <w:ilvl w:val="1"/>
                    <w:numId w:val="32"/>
                  </w:numPr>
                  <w:rPr>
                    <w:b/>
                    <w:bCs/>
                  </w:rPr>
                </w:pPr>
                <w:r w:rsidRPr="000A49B4">
                  <w:t xml:space="preserve">minimum staff for 1:4 nurse-patient ratio provided: </w:t>
                </w:r>
              </w:p>
              <w:p w14:paraId="3E4036A0" w14:textId="77777777" w:rsidR="00C73FA6" w:rsidRPr="000A49B4" w:rsidRDefault="00C73FA6" w:rsidP="00C73FA6">
                <w:pPr>
                  <w:pStyle w:val="BulletList2Column"/>
                  <w:numPr>
                    <w:ilvl w:val="2"/>
                    <w:numId w:val="23"/>
                  </w:numPr>
                  <w:ind w:left="1440"/>
                  <w:rPr>
                    <w:b/>
                    <w:bCs/>
                  </w:rPr>
                </w:pPr>
                <w:r w:rsidRPr="000A49B4">
                  <w:t xml:space="preserve">patients are stable </w:t>
                </w:r>
              </w:p>
              <w:p w14:paraId="41B4565B" w14:textId="7F448428" w:rsidR="00C73FA6" w:rsidRPr="00C73FA6" w:rsidRDefault="00C73FA6" w:rsidP="00C73FA6">
                <w:pPr>
                  <w:pStyle w:val="BulletList2Column"/>
                  <w:numPr>
                    <w:ilvl w:val="2"/>
                    <w:numId w:val="23"/>
                  </w:numPr>
                  <w:ind w:left="1440"/>
                  <w:rPr>
                    <w:b/>
                    <w:bCs/>
                  </w:rPr>
                </w:pPr>
                <w:r w:rsidRPr="000A49B4">
                  <w:t xml:space="preserve">there is higher ratio for higher-acuity patients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E61C5B0" w14:textId="77777777" w:rsidR="00C73FA6" w:rsidRPr="00BF32A8" w:rsidRDefault="00C73FA6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E9C89A" w14:textId="77777777" w:rsidR="00C73FA6" w:rsidRPr="00BF32A8" w:rsidRDefault="00C73FA6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73FA6" w:rsidRPr="00371A1D" w14:paraId="6B59108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5BF4C59" w14:textId="1BB08CB7" w:rsidR="00C73FA6" w:rsidRPr="00C73FA6" w:rsidRDefault="00C73FA6" w:rsidP="00C73FA6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DA6833">
                  <w:t>family member or care giver is present for children over 5 years of age within first hour of a procedure</w:t>
                </w:r>
                <w: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E0ABE1" w14:textId="77777777" w:rsidR="00C73FA6" w:rsidRPr="00BF32A8" w:rsidRDefault="00C73FA6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2E9D65" w14:textId="77777777" w:rsidR="00C73FA6" w:rsidRPr="00BF32A8" w:rsidRDefault="00C73FA6" w:rsidP="00887948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C2223C" w:rsidRPr="00371A1D" w14:paraId="45B06379" w14:textId="77777777" w:rsidTr="005A71FB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18DBAE" w14:textId="1DCDBC83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="00887948" w:rsidRPr="00371A1D" w14:paraId="495EDF4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E4FAD1" w14:textId="7CEA9CC5" w:rsidR="00887948" w:rsidRPr="00C73FA6" w:rsidRDefault="00C73FA6" w:rsidP="00C73FA6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 w:rsidRPr="00112D2C">
                  <w:t>access to allied health professionals who may include physiotherapy, social work, occupational therapy, psychology, speech pathology or other disciplines, as required.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D76DFF1" w14:textId="77777777" w:rsidR="00887948" w:rsidRPr="00BF32A8" w:rsidRDefault="00887948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47A0D59" w14:textId="77777777" w:rsidR="00887948" w:rsidRPr="00294B2A" w:rsidRDefault="00887948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73FA6" w:rsidRPr="00371A1D" w14:paraId="273252EA" w14:textId="77777777" w:rsidTr="00463D1D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71CCEB1" w14:textId="31D98AAD" w:rsidR="00C73FA6" w:rsidRPr="00C73FA6" w:rsidRDefault="00C73FA6" w:rsidP="00C73FA6">
                <w:pPr>
                  <w:autoSpaceDE w:val="0"/>
                  <w:autoSpaceDN w:val="0"/>
                  <w:adjustRightInd w:val="0"/>
                  <w:rPr>
                    <w:b/>
                    <w:bCs/>
                    <w:color w:val="0F5CA2"/>
                    <w:spacing w:val="-2"/>
                    <w:kern w:val="21"/>
                    <w:sz w:val="19"/>
                    <w:lang w:val="en-AU"/>
                    <w14:numSpacing w14:val="proportional"/>
                  </w:rPr>
                </w:pPr>
                <w:r w:rsidRPr="00520104">
                  <w:rPr>
                    <w:color w:val="0F5CA2"/>
                    <w:spacing w:val="-2"/>
                    <w:kern w:val="21"/>
                    <w:sz w:val="19"/>
                    <w:lang w:val="en-AU"/>
                    <w14:numSpacing w14:val="proportional"/>
                  </w:rPr>
                  <w:t>Anaesthetic assistant workforce</w:t>
                </w:r>
                <w:r w:rsidR="00F023F0">
                  <w:rPr>
                    <w:color w:val="0F5CA2"/>
                    <w:spacing w:val="-2"/>
                    <w:kern w:val="21"/>
                    <w:sz w:val="19"/>
                    <w:lang w:val="en-AU"/>
                    <w14:numSpacing w14:val="proportional"/>
                  </w:rPr>
                  <w:t xml:space="preserve"> specific requirements</w:t>
                </w:r>
              </w:p>
            </w:tc>
          </w:tr>
          <w:tr w:rsidR="00C73FA6" w:rsidRPr="00371A1D" w14:paraId="75B16E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E929025" w14:textId="0774C149" w:rsidR="00C73FA6" w:rsidRPr="00C73FA6" w:rsidRDefault="00C73FA6" w:rsidP="00C73FA6">
                <w:pPr>
                  <w:pStyle w:val="BulletList2Column"/>
                  <w:numPr>
                    <w:ilvl w:val="0"/>
                    <w:numId w:val="13"/>
                  </w:numPr>
                  <w:rPr>
                    <w:b/>
                    <w:bCs/>
                  </w:rPr>
                </w:pPr>
                <w:r w:rsidRPr="00FE6327">
                  <w:t xml:space="preserve">assistant/s to medical staff administering sedation / anaesthesia must be dedicated anaesthetic assistant/s with appropriate training and demonstrated ongoing competency.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7B0CC96" w14:textId="77777777" w:rsidR="00C73FA6" w:rsidRPr="00BF32A8" w:rsidRDefault="00C73FA6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4A554C2" w14:textId="77777777" w:rsidR="00C73FA6" w:rsidRPr="00294B2A" w:rsidRDefault="00C73FA6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73FA6" w:rsidRPr="00371A1D" w14:paraId="130F9C0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2DB48D9" w14:textId="517A24B6" w:rsidR="00C73FA6" w:rsidRPr="00C73FA6" w:rsidRDefault="00C73FA6" w:rsidP="00887948">
                <w:pPr>
                  <w:pStyle w:val="ListParagraph"/>
                  <w:numPr>
                    <w:ilvl w:val="0"/>
                    <w:numId w:val="13"/>
                  </w:num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C73FA6">
                  <w:rPr>
                    <w:sz w:val="19"/>
                    <w:szCs w:val="19"/>
                  </w:rPr>
                  <w:t>in facilities where anaesthetic technicians utilised, nursing staff numbers re-evaluated to ensure adequate numbers of appropriately trained staff are present at all times.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1868AB8" w14:textId="77777777" w:rsidR="00C73FA6" w:rsidRPr="00BF32A8" w:rsidRDefault="00C73FA6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1847F2C" w14:textId="77777777" w:rsidR="00C73FA6" w:rsidRPr="00294B2A" w:rsidRDefault="00C73FA6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C2223C" w:rsidRPr="00371A1D" w14:paraId="5C535569" w14:textId="77777777" w:rsidTr="002A466F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5F8FECA" w14:textId="54C4969D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="00C2223C" w:rsidRPr="00371A1D" w14:paraId="2DFA283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2B8DA3A" w14:textId="79B695C8" w:rsidR="00C2223C" w:rsidRPr="00BF32A8" w:rsidRDefault="00C73FA6" w:rsidP="00887948">
                <w:pPr>
                  <w:pStyle w:val="ListParagraph"/>
                  <w:numPr>
                    <w:ilvl w:val="0"/>
                    <w:numId w:val="13"/>
                  </w:num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C73FA6">
                  <w:rPr>
                    <w:rFonts w:cstheme="minorHAnsi"/>
                    <w:sz w:val="19"/>
                    <w:szCs w:val="19"/>
                    <w:lang w:eastAsia="en-AU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988B4F" w14:textId="77777777" w:rsidR="00C2223C" w:rsidRPr="00BF32A8" w:rsidRDefault="00C2223C" w:rsidP="00887948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F251DEE" w14:textId="77777777" w:rsidR="00C2223C" w:rsidRPr="00294B2A" w:rsidRDefault="00C2223C" w:rsidP="00887948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4F2AD2D0" w:rsidR="00BF32A8" w:rsidRPr="003F5795" w:rsidRDefault="00887948" w:rsidP="003F5795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="00BF32A8"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294B2A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294B2A" w:rsidRDefault="00294B2A" w:rsidP="0067798A">
                <w:pPr>
                  <w:pStyle w:val="Heading5"/>
                  <w:spacing w:before="0" w:after="6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BF32A8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On-site</w:t>
                </w:r>
                <w:r w:rsidR="0067798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: </w:t>
                </w:r>
              </w:p>
              <w:p w14:paraId="015167BE" w14:textId="265DE9CD" w:rsidR="00C73FA6" w:rsidRPr="001A6E08" w:rsidRDefault="00C73FA6" w:rsidP="00C73FA6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>
                  <w:t>Level 2 - Medication</w:t>
                </w:r>
              </w:p>
              <w:p w14:paraId="6A07F087" w14:textId="0DDDE986" w:rsidR="00C73FA6" w:rsidRPr="00C73FA6" w:rsidRDefault="00C73FA6" w:rsidP="00C73FA6">
                <w:pPr>
                  <w:pStyle w:val="BulletList2Column"/>
                  <w:numPr>
                    <w:ilvl w:val="0"/>
                    <w:numId w:val="23"/>
                  </w:numPr>
                  <w:rPr>
                    <w:b/>
                    <w:bCs/>
                  </w:rPr>
                </w:pPr>
                <w:r>
                  <w:t xml:space="preserve">Level 3 – </w:t>
                </w:r>
                <w:r w:rsidRPr="002E384E">
                  <w:t>Anaesthetic</w:t>
                </w:r>
              </w:p>
              <w:p w14:paraId="04D9A5C3" w14:textId="6CFC6318" w:rsidR="00C84982" w:rsidRDefault="00C73FA6" w:rsidP="00C84982">
                <w:pPr>
                  <w:pStyle w:val="BulletList2Column"/>
                  <w:numPr>
                    <w:ilvl w:val="0"/>
                    <w:numId w:val="0"/>
                  </w:numPr>
                </w:pPr>
                <w:r>
                  <w:t xml:space="preserve">Perioperative Services – </w:t>
                </w:r>
                <w:r w:rsidR="00C84982">
                  <w:t>relevant sections:</w:t>
                </w:r>
              </w:p>
              <w:p w14:paraId="3A30681C" w14:textId="77777777" w:rsidR="00C84982" w:rsidRDefault="00C84982" w:rsidP="00C84982">
                <w:pPr>
                  <w:pStyle w:val="BulletList2Column"/>
                  <w:numPr>
                    <w:ilvl w:val="0"/>
                    <w:numId w:val="34"/>
                  </w:numPr>
                </w:pPr>
                <w:r>
                  <w:lastRenderedPageBreak/>
                  <w:t xml:space="preserve">Level 3 - </w:t>
                </w:r>
                <w:r w:rsidR="00C73FA6">
                  <w:t>Day Surgery</w:t>
                </w:r>
              </w:p>
              <w:p w14:paraId="6E9ED2EB" w14:textId="77777777" w:rsidR="00C84982" w:rsidRDefault="00C84982" w:rsidP="00C84982">
                <w:pPr>
                  <w:pStyle w:val="BulletList2Column"/>
                  <w:numPr>
                    <w:ilvl w:val="0"/>
                    <w:numId w:val="34"/>
                  </w:numPr>
                </w:pPr>
                <w:r>
                  <w:t xml:space="preserve">Level 3 - </w:t>
                </w:r>
                <w:r w:rsidR="00C73FA6">
                  <w:t xml:space="preserve">Operating </w:t>
                </w:r>
                <w:r>
                  <w:t>theatre</w:t>
                </w:r>
              </w:p>
              <w:p w14:paraId="3E097B00" w14:textId="41478031" w:rsidR="0067798A" w:rsidRPr="00C73FA6" w:rsidRDefault="00C84982" w:rsidP="00C84982">
                <w:pPr>
                  <w:pStyle w:val="BulletList2Column"/>
                  <w:numPr>
                    <w:ilvl w:val="0"/>
                    <w:numId w:val="34"/>
                  </w:numPr>
                  <w:rPr>
                    <w:b/>
                    <w:bCs/>
                  </w:rPr>
                </w:pPr>
                <w:r>
                  <w:t xml:space="preserve">Level 3 - </w:t>
                </w:r>
                <w:r w:rsidR="00C73FA6">
                  <w:t>Post Anaesthetic Care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294B2A" w:rsidRPr="00BF32A8" w:rsidRDefault="00294B2A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294B2A" w:rsidRPr="00BF32A8" w:rsidRDefault="00294B2A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BF32A8" w:rsidRPr="00BF32A8" w:rsidRDefault="00BF32A8" w:rsidP="00BF32A8">
                <w:pPr>
                  <w:spacing w:before="40" w:after="40"/>
                  <w:rPr>
                    <w:color w:val="0F5CA2" w:themeColor="accent1"/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13612149" w14:textId="129B6D40" w:rsidR="00C73FA6" w:rsidRPr="00C73FA6" w:rsidRDefault="00C73FA6" w:rsidP="00C73FA6">
                <w:pPr>
                  <w:pStyle w:val="BulletList2Column"/>
                  <w:rPr>
                    <w:b/>
                    <w:bCs/>
                    <w:szCs w:val="19"/>
                  </w:rPr>
                </w:pPr>
                <w:r w:rsidRPr="00C73FA6">
                  <w:rPr>
                    <w:szCs w:val="19"/>
                  </w:rPr>
                  <w:t>Level 3 - Medical Imaging</w:t>
                </w:r>
              </w:p>
              <w:p w14:paraId="500303B4" w14:textId="6E2CBA58" w:rsidR="00C73FA6" w:rsidRPr="00C73FA6" w:rsidRDefault="00C73FA6" w:rsidP="00C73FA6">
                <w:pPr>
                  <w:pStyle w:val="BulletList2Column"/>
                  <w:rPr>
                    <w:b/>
                    <w:bCs/>
                    <w:szCs w:val="19"/>
                  </w:rPr>
                </w:pPr>
                <w:r w:rsidRPr="00C73FA6">
                  <w:rPr>
                    <w:szCs w:val="19"/>
                  </w:rPr>
                  <w:t>Level 3 - Medication</w:t>
                </w:r>
              </w:p>
              <w:p w14:paraId="5C743592" w14:textId="77777777" w:rsidR="00C73FA6" w:rsidRPr="00C73FA6" w:rsidRDefault="00C73FA6" w:rsidP="00C73FA6">
                <w:pPr>
                  <w:pStyle w:val="ListBullet"/>
                  <w:rPr>
                    <w:sz w:val="19"/>
                    <w:szCs w:val="19"/>
                  </w:rPr>
                </w:pPr>
                <w:r w:rsidRPr="00C73FA6">
                  <w:rPr>
                    <w:sz w:val="19"/>
                    <w:szCs w:val="19"/>
                  </w:rPr>
                  <w:t xml:space="preserve">Level 4 - Intensive Care </w:t>
                </w:r>
              </w:p>
              <w:p w14:paraId="0E675A27" w14:textId="1699A670" w:rsidR="00C73FA6" w:rsidRPr="00C73FA6" w:rsidRDefault="00C73FA6" w:rsidP="00C73FA6">
                <w:pPr>
                  <w:pStyle w:val="ListBullet"/>
                  <w:rPr>
                    <w:sz w:val="19"/>
                    <w:szCs w:val="19"/>
                  </w:rPr>
                </w:pPr>
                <w:r w:rsidRPr="00C73FA6">
                  <w:rPr>
                    <w:sz w:val="19"/>
                    <w:szCs w:val="19"/>
                  </w:rPr>
                  <w:t>Level 4 - Children’s Intensive Care Services (if applicable)</w:t>
                </w:r>
              </w:p>
              <w:p w14:paraId="68984AC1" w14:textId="77777777" w:rsidR="00C73FA6" w:rsidRPr="00C73FA6" w:rsidRDefault="00C73FA6" w:rsidP="00C73FA6">
                <w:pPr>
                  <w:pStyle w:val="ListBullet"/>
                  <w:rPr>
                    <w:sz w:val="19"/>
                    <w:szCs w:val="19"/>
                  </w:rPr>
                </w:pPr>
                <w:r w:rsidRPr="00C73FA6">
                  <w:rPr>
                    <w:sz w:val="19"/>
                    <w:szCs w:val="19"/>
                  </w:rPr>
                  <w:t>Level 4 - Nuclear Medicine</w:t>
                </w:r>
              </w:p>
              <w:p w14:paraId="1717B7C7" w14:textId="6F2E5FC8" w:rsidR="00BF32A8" w:rsidRPr="00BF32A8" w:rsidRDefault="00C73FA6" w:rsidP="00C73FA6">
                <w:pPr>
                  <w:pStyle w:val="ListBullet"/>
                </w:pPr>
                <w:r w:rsidRPr="00C73FA6">
                  <w:rPr>
                    <w:sz w:val="19"/>
                    <w:szCs w:val="19"/>
                  </w:rPr>
                  <w:t>Level 4 - 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BF32A8" w:rsidRPr="00BF32A8" w:rsidRDefault="00BF32A8" w:rsidP="00E45740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BF32A8" w:rsidRPr="00BF32A8" w:rsidRDefault="00BF32A8" w:rsidP="00F35279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F023F0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C7938" w14:textId="48B43210" w:rsidR="00DD3033" w:rsidRDefault="00F023F0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53B5D" w14:textId="5BE80483" w:rsidR="004A573D" w:rsidRDefault="00F023F0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D659" w14:textId="3EA823F7" w:rsidR="0019023A" w:rsidRDefault="00F023F0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C0F6D" w14:textId="7FA0F897" w:rsidR="004A573D" w:rsidRDefault="00F023F0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FC4A64"/>
    <w:multiLevelType w:val="hybridMultilevel"/>
    <w:tmpl w:val="5D4228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726425"/>
    <w:multiLevelType w:val="hybridMultilevel"/>
    <w:tmpl w:val="4BDA678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C750E4"/>
    <w:multiLevelType w:val="hybridMultilevel"/>
    <w:tmpl w:val="27622B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24DA04F3"/>
    <w:multiLevelType w:val="hybridMultilevel"/>
    <w:tmpl w:val="F7447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539AD"/>
    <w:multiLevelType w:val="hybridMultilevel"/>
    <w:tmpl w:val="7AA8F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8094328"/>
    <w:multiLevelType w:val="multilevel"/>
    <w:tmpl w:val="C2FE460C"/>
    <w:numStyleLink w:val="Bullets"/>
  </w:abstractNum>
  <w:abstractNum w:abstractNumId="18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0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9664B0"/>
    <w:multiLevelType w:val="hybridMultilevel"/>
    <w:tmpl w:val="FE1058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27" w15:restartNumberingAfterBreak="0">
    <w:nsid w:val="62D2686B"/>
    <w:multiLevelType w:val="hybridMultilevel"/>
    <w:tmpl w:val="5D5E5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C7C43"/>
    <w:multiLevelType w:val="hybridMultilevel"/>
    <w:tmpl w:val="3E0CC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E53A9"/>
    <w:multiLevelType w:val="hybridMultilevel"/>
    <w:tmpl w:val="7FDC85A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6"/>
  </w:num>
  <w:num w:numId="4">
    <w:abstractNumId w:val="13"/>
  </w:num>
  <w:num w:numId="5">
    <w:abstractNumId w:val="19"/>
  </w:num>
  <w:num w:numId="6">
    <w:abstractNumId w:val="17"/>
  </w:num>
  <w:num w:numId="7">
    <w:abstractNumId w:val="7"/>
  </w:num>
  <w:num w:numId="8">
    <w:abstractNumId w:val="2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"/>
  </w:num>
  <w:num w:numId="11">
    <w:abstractNumId w:val="22"/>
  </w:num>
  <w:num w:numId="12">
    <w:abstractNumId w:val="25"/>
  </w:num>
  <w:num w:numId="13">
    <w:abstractNumId w:val="18"/>
  </w:num>
  <w:num w:numId="14">
    <w:abstractNumId w:val="10"/>
  </w:num>
  <w:num w:numId="15">
    <w:abstractNumId w:val="29"/>
  </w:num>
  <w:num w:numId="16">
    <w:abstractNumId w:val="23"/>
  </w:num>
  <w:num w:numId="17">
    <w:abstractNumId w:val="2"/>
  </w:num>
  <w:num w:numId="18">
    <w:abstractNumId w:val="1"/>
  </w:num>
  <w:num w:numId="19">
    <w:abstractNumId w:val="28"/>
  </w:num>
  <w:num w:numId="20">
    <w:abstractNumId w:val="20"/>
  </w:num>
  <w:num w:numId="21">
    <w:abstractNumId w:val="21"/>
  </w:num>
  <w:num w:numId="22">
    <w:abstractNumId w:val="6"/>
  </w:num>
  <w:num w:numId="23">
    <w:abstractNumId w:val="15"/>
  </w:num>
  <w:num w:numId="24">
    <w:abstractNumId w:val="30"/>
  </w:num>
  <w:num w:numId="25">
    <w:abstractNumId w:val="9"/>
  </w:num>
  <w:num w:numId="26">
    <w:abstractNumId w:val="14"/>
  </w:num>
  <w:num w:numId="27">
    <w:abstractNumId w:val="32"/>
  </w:num>
  <w:num w:numId="28">
    <w:abstractNumId w:val="24"/>
  </w:num>
  <w:num w:numId="29">
    <w:abstractNumId w:val="5"/>
  </w:num>
  <w:num w:numId="30">
    <w:abstractNumId w:val="8"/>
  </w:num>
  <w:num w:numId="31">
    <w:abstractNumId w:val="4"/>
  </w:num>
  <w:num w:numId="32">
    <w:abstractNumId w:val="12"/>
  </w:num>
  <w:num w:numId="33">
    <w:abstractNumId w:val="27"/>
  </w:num>
  <w:num w:numId="34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6E2A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6072D"/>
    <w:rsid w:val="00261F2E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765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A88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047B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107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4782D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E77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020"/>
    <w:rsid w:val="00C66D8F"/>
    <w:rsid w:val="00C673B8"/>
    <w:rsid w:val="00C71484"/>
    <w:rsid w:val="00C73FA6"/>
    <w:rsid w:val="00C76224"/>
    <w:rsid w:val="00C76568"/>
    <w:rsid w:val="00C84982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4760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32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AD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23F0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uiPriority w:val="18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uiPriority w:val="18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3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9BA7EA-C302-44E9-8E59-BC1B4C65D7BC}"/>
</file>

<file path=customXml/itemProps5.xml><?xml version="1.0" encoding="utf-8"?>
<ds:datastoreItem xmlns:ds="http://schemas.openxmlformats.org/officeDocument/2006/customXml" ds:itemID="{0E7E7AFF-0BCE-4C09-B3A7-D5D387278771}"/>
</file>

<file path=customXml/itemProps6.xml><?xml version="1.0" encoding="utf-8"?>
<ds:datastoreItem xmlns:ds="http://schemas.openxmlformats.org/officeDocument/2006/customXml" ds:itemID="{7B6721AA-61B6-4082-B9DC-C875616D9CEA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37</TotalTime>
  <Pages>7</Pages>
  <Words>1053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Margo</cp:lastModifiedBy>
  <cp:revision>15</cp:revision>
  <dcterms:created xsi:type="dcterms:W3CDTF">2022-02-09T00:04:00Z</dcterms:created>
  <dcterms:modified xsi:type="dcterms:W3CDTF">2022-02-09T01:41:00Z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