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2B04EB"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B04EB"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2B04EB"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B04EB"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3878CE8E" w:rsidR="00154AB4" w:rsidRPr="0089106C" w:rsidRDefault="003029C9" w:rsidP="0089106C">
                <w:pPr>
                  <w:spacing w:before="40" w:after="40"/>
                  <w:rPr>
                    <w:b/>
                    <w:bCs/>
                    <w:sz w:val="22"/>
                    <w:szCs w:val="22"/>
                  </w:rPr>
                </w:pPr>
                <w:r>
                  <w:rPr>
                    <w:b/>
                    <w:bCs/>
                    <w:sz w:val="22"/>
                    <w:szCs w:val="22"/>
                  </w:rPr>
                  <w:t xml:space="preserve">Pathology </w:t>
                </w:r>
                <w:r w:rsidR="0089106C">
                  <w:rPr>
                    <w:b/>
                    <w:bCs/>
                    <w:sz w:val="22"/>
                    <w:szCs w:val="22"/>
                  </w:rPr>
                  <w:t>Services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23978E34" w:rsidR="00154AB4" w:rsidRPr="00B3484E" w:rsidRDefault="00154AB4" w:rsidP="00154AB4">
                <w:pPr>
                  <w:spacing w:before="40" w:after="40"/>
                  <w:rPr>
                    <w:b/>
                    <w:bCs/>
                    <w:sz w:val="22"/>
                    <w:szCs w:val="22"/>
                  </w:rPr>
                </w:pPr>
                <w:r>
                  <w:rPr>
                    <w:b/>
                    <w:bCs/>
                    <w:sz w:val="22"/>
                    <w:szCs w:val="22"/>
                  </w:rPr>
                  <w:t xml:space="preserve">Level </w:t>
                </w:r>
                <w:r w:rsidR="001C7496">
                  <w:rPr>
                    <w:b/>
                    <w:bCs/>
                    <w:sz w:val="22"/>
                    <w:szCs w:val="22"/>
                  </w:rPr>
                  <w:t>6</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0A734FBF" w:rsidR="00294B2A" w:rsidRPr="008155E7" w:rsidRDefault="008155E7" w:rsidP="005D6EC6">
                <w:pPr>
                  <w:numPr>
                    <w:ilvl w:val="0"/>
                    <w:numId w:val="13"/>
                  </w:numPr>
                  <w:autoSpaceDE w:val="0"/>
                  <w:autoSpaceDN w:val="0"/>
                  <w:adjustRightInd w:val="0"/>
                  <w:spacing w:line="240" w:lineRule="auto"/>
                  <w:ind w:left="357" w:hanging="357"/>
                  <w:rPr>
                    <w:rFonts w:cs="Arial"/>
                    <w:sz w:val="19"/>
                    <w:szCs w:val="19"/>
                  </w:rPr>
                </w:pPr>
                <w:r w:rsidRPr="008155E7">
                  <w:rPr>
                    <w:rStyle w:val="ClearCharacter"/>
                    <w:sz w:val="19"/>
                    <w:szCs w:val="19"/>
                  </w:rPr>
                  <w:t>documented processes with an accredited public or private laboratory for referral and transfer of specimens to ensure safe, ongoing management of complex tests</w:t>
                </w:r>
                <w:r w:rsidRPr="008155E7">
                  <w:rPr>
                    <w:rStyle w:val="ClearCharacter"/>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557B8C" w:rsidRDefault="00294B2A"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52E3ACA3" w:rsidR="00154AB4" w:rsidRPr="00557B8C" w:rsidRDefault="00154AB4" w:rsidP="00557B8C">
                <w:pPr>
                  <w:spacing w:line="240" w:lineRule="auto"/>
                  <w:rPr>
                    <w:color w:val="006D35" w:themeColor="accent6" w:themeShade="BF"/>
                    <w:sz w:val="19"/>
                    <w:szCs w:val="19"/>
                  </w:rPr>
                </w:pP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5FBAEBDB" w:rsidR="00294B2A" w:rsidRPr="008155E7" w:rsidRDefault="008155E7" w:rsidP="005D6EC6">
                <w:pPr>
                  <w:pStyle w:val="Default"/>
                  <w:numPr>
                    <w:ilvl w:val="0"/>
                    <w:numId w:val="13"/>
                  </w:numPr>
                  <w:ind w:left="357" w:hanging="357"/>
                  <w:rPr>
                    <w:rFonts w:ascii="Fira Sans" w:hAnsi="Fira Sans"/>
                    <w:sz w:val="19"/>
                    <w:szCs w:val="19"/>
                  </w:rPr>
                </w:pPr>
                <w:r w:rsidRPr="008155E7">
                  <w:rPr>
                    <w:rStyle w:val="ClearCharacter"/>
                    <w:rFonts w:ascii="Fira Sans" w:hAnsi="Fira Sans"/>
                    <w:color w:val="3A3E3E" w:themeColor="background2" w:themeShade="40"/>
                    <w:sz w:val="19"/>
                    <w:szCs w:val="19"/>
                  </w:rPr>
                  <w:t xml:space="preserve">the requirement to meet the National Pathology Accreditation Advisory Council (NPAAC) </w:t>
                </w:r>
                <w:r w:rsidRPr="008155E7">
                  <w:rPr>
                    <w:rStyle w:val="ClearCharacter"/>
                    <w:rFonts w:ascii="Fira Sans" w:hAnsi="Fira Sans"/>
                    <w:i/>
                    <w:color w:val="3A3E3E" w:themeColor="background2" w:themeShade="40"/>
                    <w:sz w:val="19"/>
                    <w:szCs w:val="19"/>
                  </w:rPr>
                  <w:t>Requirements for the Packaging and Transport of Patient Specimens and Associated Material</w:t>
                </w:r>
                <w:r w:rsidRPr="008155E7">
                  <w:rPr>
                    <w:rStyle w:val="ClearCharacter"/>
                    <w:rFonts w:ascii="Fira Sans" w:hAnsi="Fira Sans"/>
                    <w:i/>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557B8C" w:rsidRDefault="00294B2A" w:rsidP="00557B8C">
                <w:pPr>
                  <w:tabs>
                    <w:tab w:val="left" w:pos="720"/>
                  </w:tabs>
                  <w:spacing w:line="240" w:lineRule="auto"/>
                  <w:rPr>
                    <w:color w:val="006D35" w:themeColor="accent6" w:themeShade="BF"/>
                    <w:sz w:val="19"/>
                    <w:szCs w:val="19"/>
                  </w:rPr>
                </w:pPr>
              </w:p>
            </w:tc>
          </w:tr>
          <w:tr w:rsidR="002B04EB" w:rsidRPr="00371A1D" w14:paraId="1643264F" w14:textId="77777777" w:rsidTr="00E45740">
            <w:tc>
              <w:tcPr>
                <w:tcW w:w="3598" w:type="dxa"/>
                <w:tcBorders>
                  <w:top w:val="single" w:sz="2" w:space="0" w:color="auto"/>
                  <w:left w:val="single" w:sz="12" w:space="0" w:color="auto"/>
                  <w:bottom w:val="single" w:sz="2" w:space="0" w:color="auto"/>
                  <w:right w:val="single" w:sz="2" w:space="0" w:color="auto"/>
                </w:tcBorders>
              </w:tcPr>
              <w:p w14:paraId="512583A8" w14:textId="68419B26" w:rsidR="002B04EB" w:rsidRPr="002B04EB" w:rsidRDefault="002B04EB" w:rsidP="002B04EB">
                <w:pPr>
                  <w:pStyle w:val="Default"/>
                  <w:numPr>
                    <w:ilvl w:val="0"/>
                    <w:numId w:val="13"/>
                  </w:numPr>
                  <w:ind w:left="357" w:hanging="357"/>
                  <w:rPr>
                    <w:rStyle w:val="ClearCharacter"/>
                    <w:rFonts w:ascii="Fira Sans" w:hAnsi="Fira Sans"/>
                    <w:color w:val="3A3E3E" w:themeColor="background2" w:themeShade="40"/>
                    <w:sz w:val="19"/>
                    <w:szCs w:val="19"/>
                  </w:rPr>
                </w:pPr>
                <w:r w:rsidRPr="002B04EB">
                  <w:rPr>
                    <w:rStyle w:val="ClearCharacter"/>
                    <w:rFonts w:ascii="Fira Sans" w:hAnsi="Fira Sans"/>
                    <w:color w:val="3A3E3E" w:themeColor="background2" w:themeShade="40"/>
                    <w:sz w:val="19"/>
                    <w:szCs w:val="19"/>
                  </w:rPr>
                  <w:t>includes superspecialty services and provides highly complex pathology services such as clinical investigations, transplantation services and blood banking.</w:t>
                </w:r>
              </w:p>
            </w:tc>
            <w:tc>
              <w:tcPr>
                <w:tcW w:w="1394" w:type="dxa"/>
                <w:tcBorders>
                  <w:top w:val="single" w:sz="2" w:space="0" w:color="auto"/>
                  <w:left w:val="single" w:sz="2" w:space="0" w:color="auto"/>
                  <w:bottom w:val="single" w:sz="2" w:space="0" w:color="auto"/>
                  <w:right w:val="single" w:sz="2" w:space="0" w:color="auto"/>
                </w:tcBorders>
              </w:tcPr>
              <w:p w14:paraId="27389987" w14:textId="77777777" w:rsidR="002B04EB" w:rsidRPr="00557B8C" w:rsidRDefault="002B04EB"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668D2F" w14:textId="77777777" w:rsidR="002B04EB" w:rsidRPr="00557B8C" w:rsidRDefault="002B04EB" w:rsidP="00557B8C">
                <w:pPr>
                  <w:tabs>
                    <w:tab w:val="left" w:pos="720"/>
                  </w:tabs>
                  <w:spacing w:line="240" w:lineRule="auto"/>
                  <w:rPr>
                    <w:color w:val="006D35" w:themeColor="accent6" w:themeShade="BF"/>
                    <w:sz w:val="19"/>
                    <w:szCs w:val="19"/>
                  </w:rPr>
                </w:pPr>
              </w:p>
            </w:tc>
          </w:tr>
          <w:tr w:rsidR="002B04EB" w:rsidRPr="00371A1D" w14:paraId="56C71A11" w14:textId="77777777" w:rsidTr="00E45740">
            <w:tc>
              <w:tcPr>
                <w:tcW w:w="3598" w:type="dxa"/>
                <w:tcBorders>
                  <w:top w:val="single" w:sz="2" w:space="0" w:color="auto"/>
                  <w:left w:val="single" w:sz="12" w:space="0" w:color="auto"/>
                  <w:bottom w:val="single" w:sz="2" w:space="0" w:color="auto"/>
                  <w:right w:val="single" w:sz="2" w:space="0" w:color="auto"/>
                </w:tcBorders>
              </w:tcPr>
              <w:p w14:paraId="29215D32" w14:textId="1679B076" w:rsidR="002B04EB" w:rsidRPr="002B04EB" w:rsidRDefault="002B04EB" w:rsidP="002B04EB">
                <w:pPr>
                  <w:pStyle w:val="Default"/>
                  <w:numPr>
                    <w:ilvl w:val="0"/>
                    <w:numId w:val="13"/>
                  </w:numPr>
                  <w:ind w:left="357" w:hanging="357"/>
                  <w:rPr>
                    <w:rStyle w:val="ClearCharacter"/>
                    <w:rFonts w:ascii="Fira Sans" w:hAnsi="Fira Sans"/>
                    <w:color w:val="3A3E3E" w:themeColor="background2" w:themeShade="40"/>
                    <w:sz w:val="19"/>
                    <w:szCs w:val="19"/>
                  </w:rPr>
                </w:pPr>
                <w:r w:rsidRPr="002B04EB">
                  <w:rPr>
                    <w:rStyle w:val="ClearCharacter"/>
                    <w:rFonts w:ascii="Fira Sans" w:hAnsi="Fira Sans"/>
                    <w:color w:val="3A3E3E" w:themeColor="background2" w:themeShade="40"/>
                    <w:sz w:val="19"/>
                    <w:szCs w:val="19"/>
                  </w:rPr>
                  <w:t>services provided by on-site NATA / RCPA accredited.</w:t>
                </w:r>
              </w:p>
            </w:tc>
            <w:tc>
              <w:tcPr>
                <w:tcW w:w="1394" w:type="dxa"/>
                <w:tcBorders>
                  <w:top w:val="single" w:sz="2" w:space="0" w:color="auto"/>
                  <w:left w:val="single" w:sz="2" w:space="0" w:color="auto"/>
                  <w:bottom w:val="single" w:sz="2" w:space="0" w:color="auto"/>
                  <w:right w:val="single" w:sz="2" w:space="0" w:color="auto"/>
                </w:tcBorders>
              </w:tcPr>
              <w:p w14:paraId="00011F5C" w14:textId="77777777" w:rsidR="002B04EB" w:rsidRPr="00557B8C" w:rsidRDefault="002B04EB"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61CB7E1" w14:textId="77777777" w:rsidR="002B04EB" w:rsidRPr="00557B8C" w:rsidRDefault="002B04EB" w:rsidP="00557B8C">
                <w:pPr>
                  <w:tabs>
                    <w:tab w:val="left" w:pos="720"/>
                  </w:tabs>
                  <w:spacing w:line="240" w:lineRule="auto"/>
                  <w:rPr>
                    <w:color w:val="006D35" w:themeColor="accent6" w:themeShade="BF"/>
                    <w:sz w:val="19"/>
                    <w:szCs w:val="19"/>
                  </w:rPr>
                </w:pPr>
              </w:p>
            </w:tc>
          </w:tr>
          <w:tr w:rsidR="008155E7" w:rsidRPr="00371A1D" w14:paraId="1E460AB1" w14:textId="77777777" w:rsidTr="00E45740">
            <w:tc>
              <w:tcPr>
                <w:tcW w:w="3598" w:type="dxa"/>
                <w:tcBorders>
                  <w:top w:val="single" w:sz="2" w:space="0" w:color="auto"/>
                  <w:left w:val="single" w:sz="12" w:space="0" w:color="auto"/>
                  <w:bottom w:val="single" w:sz="2" w:space="0" w:color="auto"/>
                  <w:right w:val="single" w:sz="2" w:space="0" w:color="auto"/>
                </w:tcBorders>
              </w:tcPr>
              <w:p w14:paraId="68C73F7E" w14:textId="1AF34CE4" w:rsidR="008155E7" w:rsidRPr="002B04EB" w:rsidRDefault="002B04EB" w:rsidP="002B04EB">
                <w:pPr>
                  <w:pStyle w:val="Default"/>
                  <w:numPr>
                    <w:ilvl w:val="0"/>
                    <w:numId w:val="13"/>
                  </w:numPr>
                  <w:ind w:left="357" w:hanging="357"/>
                  <w:rPr>
                    <w:rStyle w:val="ClearCharacter"/>
                    <w:rFonts w:ascii="Fira Sans" w:hAnsi="Fira Sans"/>
                    <w:color w:val="3A3E3E" w:themeColor="background2" w:themeShade="40"/>
                    <w:sz w:val="19"/>
                    <w:szCs w:val="19"/>
                  </w:rPr>
                </w:pPr>
                <w:r w:rsidRPr="002B04EB">
                  <w:rPr>
                    <w:rStyle w:val="ClearCharacter"/>
                    <w:rFonts w:ascii="Fira Sans" w:hAnsi="Fira Sans"/>
                    <w:color w:val="3A3E3E" w:themeColor="background2" w:themeShade="40"/>
                    <w:sz w:val="19"/>
                    <w:szCs w:val="19"/>
                  </w:rPr>
                  <w:t>on-site collection and processing capabilities available, as well as laboratory and medical staff.</w:t>
                </w:r>
              </w:p>
            </w:tc>
            <w:tc>
              <w:tcPr>
                <w:tcW w:w="1394" w:type="dxa"/>
                <w:tcBorders>
                  <w:top w:val="single" w:sz="2" w:space="0" w:color="auto"/>
                  <w:left w:val="single" w:sz="2" w:space="0" w:color="auto"/>
                  <w:bottom w:val="single" w:sz="2" w:space="0" w:color="auto"/>
                  <w:right w:val="single" w:sz="2" w:space="0" w:color="auto"/>
                </w:tcBorders>
              </w:tcPr>
              <w:p w14:paraId="3EDBBA56" w14:textId="77777777" w:rsidR="008155E7" w:rsidRPr="00557B8C" w:rsidRDefault="008155E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884EDC" w14:textId="77777777" w:rsidR="008155E7" w:rsidRPr="00557B8C" w:rsidRDefault="008155E7" w:rsidP="00557B8C">
                <w:pPr>
                  <w:tabs>
                    <w:tab w:val="left" w:pos="720"/>
                  </w:tabs>
                  <w:spacing w:line="240" w:lineRule="auto"/>
                  <w:rPr>
                    <w:color w:val="006D35" w:themeColor="accent6" w:themeShade="BF"/>
                    <w:sz w:val="19"/>
                    <w:szCs w:val="19"/>
                  </w:rPr>
                </w:pPr>
              </w:p>
            </w:tc>
          </w:tr>
          <w:tr w:rsidR="008155E7" w:rsidRPr="00371A1D" w14:paraId="27B3DC5E" w14:textId="77777777" w:rsidTr="00E45740">
            <w:tc>
              <w:tcPr>
                <w:tcW w:w="3598" w:type="dxa"/>
                <w:tcBorders>
                  <w:top w:val="single" w:sz="2" w:space="0" w:color="auto"/>
                  <w:left w:val="single" w:sz="12" w:space="0" w:color="auto"/>
                  <w:bottom w:val="single" w:sz="2" w:space="0" w:color="auto"/>
                  <w:right w:val="single" w:sz="2" w:space="0" w:color="auto"/>
                </w:tcBorders>
              </w:tcPr>
              <w:p w14:paraId="0014E7B2" w14:textId="29CD08D5" w:rsidR="008155E7" w:rsidRPr="002B04EB" w:rsidRDefault="002B04EB" w:rsidP="002B04EB">
                <w:pPr>
                  <w:pStyle w:val="Default"/>
                  <w:numPr>
                    <w:ilvl w:val="0"/>
                    <w:numId w:val="13"/>
                  </w:numPr>
                  <w:ind w:left="357" w:hanging="357"/>
                  <w:rPr>
                    <w:rStyle w:val="ClearCharacter"/>
                    <w:rFonts w:ascii="Fira Sans" w:hAnsi="Fira Sans"/>
                    <w:color w:val="3A3E3E" w:themeColor="background2" w:themeShade="40"/>
                    <w:sz w:val="19"/>
                    <w:szCs w:val="19"/>
                  </w:rPr>
                </w:pPr>
                <w:r w:rsidRPr="002B04EB">
                  <w:rPr>
                    <w:rStyle w:val="ClearCharacter"/>
                    <w:rFonts w:ascii="Fira Sans" w:hAnsi="Fira Sans"/>
                    <w:color w:val="3A3E3E" w:themeColor="background2" w:themeShade="40"/>
                    <w:sz w:val="19"/>
                    <w:szCs w:val="19"/>
                  </w:rPr>
                  <w:t xml:space="preserve">some or all Level 6 services may be provided by Level 5 laboratories, also accessible to Level 3, 4 and 5 pathology </w:t>
                </w:r>
                <w:r w:rsidRPr="002B04EB">
                  <w:rPr>
                    <w:rStyle w:val="ClearCharacter"/>
                    <w:rFonts w:ascii="Fira Sans" w:hAnsi="Fira Sans"/>
                    <w:color w:val="3A3E3E" w:themeColor="background2" w:themeShade="40"/>
                    <w:sz w:val="19"/>
                    <w:szCs w:val="19"/>
                  </w:rPr>
                  <w:lastRenderedPageBreak/>
                  <w:t>laboratories by referral of samples where relevant to patient care.</w:t>
                </w:r>
              </w:p>
            </w:tc>
            <w:tc>
              <w:tcPr>
                <w:tcW w:w="1394" w:type="dxa"/>
                <w:tcBorders>
                  <w:top w:val="single" w:sz="2" w:space="0" w:color="auto"/>
                  <w:left w:val="single" w:sz="2" w:space="0" w:color="auto"/>
                  <w:bottom w:val="single" w:sz="2" w:space="0" w:color="auto"/>
                  <w:right w:val="single" w:sz="2" w:space="0" w:color="auto"/>
                </w:tcBorders>
              </w:tcPr>
              <w:p w14:paraId="3D093E67" w14:textId="77777777" w:rsidR="008155E7" w:rsidRPr="00557B8C" w:rsidRDefault="008155E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ABCBBD" w14:textId="77777777" w:rsidR="008155E7" w:rsidRPr="00557B8C" w:rsidRDefault="008155E7" w:rsidP="00557B8C">
                <w:pPr>
                  <w:tabs>
                    <w:tab w:val="left" w:pos="720"/>
                  </w:tabs>
                  <w:spacing w:line="240" w:lineRule="auto"/>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557B8C" w:rsidRDefault="00294B2A" w:rsidP="00557B8C">
                <w:pPr>
                  <w:spacing w:line="240" w:lineRule="auto"/>
                  <w:rPr>
                    <w:rFonts w:cstheme="minorHAnsi"/>
                    <w:b/>
                    <w:bCs/>
                    <w:i/>
                    <w:iCs/>
                    <w:color w:val="0F59A0"/>
                    <w:sz w:val="19"/>
                    <w:szCs w:val="19"/>
                    <w:lang w:eastAsia="en-AU"/>
                  </w:rPr>
                </w:pPr>
                <w:r w:rsidRPr="00557B8C">
                  <w:rPr>
                    <w:rFonts w:cstheme="minorHAnsi"/>
                    <w:b/>
                    <w:bCs/>
                    <w:i/>
                    <w:iCs/>
                    <w:color w:val="0F59A0"/>
                    <w:sz w:val="19"/>
                    <w:szCs w:val="19"/>
                    <w:lang w:eastAsia="en-AU"/>
                  </w:rPr>
                  <w:t>Service requirements:</w:t>
                </w:r>
              </w:p>
            </w:tc>
          </w:tr>
          <w:tr w:rsidR="002B04EB" w:rsidRPr="00371A1D" w14:paraId="369069AC" w14:textId="77777777" w:rsidTr="00E45740">
            <w:tc>
              <w:tcPr>
                <w:tcW w:w="3598" w:type="dxa"/>
                <w:tcBorders>
                  <w:top w:val="single" w:sz="2" w:space="0" w:color="auto"/>
                  <w:left w:val="single" w:sz="12" w:space="0" w:color="auto"/>
                  <w:bottom w:val="single" w:sz="2" w:space="0" w:color="auto"/>
                  <w:right w:val="single" w:sz="2" w:space="0" w:color="auto"/>
                </w:tcBorders>
              </w:tcPr>
              <w:p w14:paraId="63AA9FFB" w14:textId="77777777" w:rsidR="002B04EB" w:rsidRPr="002B04EB" w:rsidRDefault="002B04EB" w:rsidP="002B04EB">
                <w:pPr>
                  <w:pStyle w:val="ListBullet"/>
                  <w:spacing w:after="0" w:line="240" w:lineRule="auto"/>
                  <w:ind w:left="340" w:hanging="340"/>
                  <w:rPr>
                    <w:rStyle w:val="ClearCharacter"/>
                    <w:sz w:val="19"/>
                    <w:szCs w:val="19"/>
                  </w:rPr>
                </w:pPr>
                <w:r w:rsidRPr="002B04EB">
                  <w:rPr>
                    <w:rStyle w:val="ClearCharacter"/>
                    <w:sz w:val="19"/>
                    <w:szCs w:val="19"/>
                  </w:rPr>
                  <w:t xml:space="preserve">blood product storage and cross-matching capabilities, fine needle aspiration and frozen section services provided with following additions: </w:t>
                </w:r>
              </w:p>
              <w:p w14:paraId="23C846FD" w14:textId="77777777" w:rsidR="002B04EB" w:rsidRPr="002B04EB" w:rsidRDefault="002B04EB" w:rsidP="002B04EB">
                <w:pPr>
                  <w:pStyle w:val="ListBullet"/>
                  <w:numPr>
                    <w:ilvl w:val="0"/>
                    <w:numId w:val="19"/>
                  </w:numPr>
                  <w:spacing w:after="0" w:line="240" w:lineRule="auto"/>
                  <w:rPr>
                    <w:rStyle w:val="ClearCharacter"/>
                    <w:sz w:val="19"/>
                    <w:szCs w:val="19"/>
                  </w:rPr>
                </w:pPr>
                <w:r w:rsidRPr="002B04EB">
                  <w:rPr>
                    <w:rStyle w:val="ClearCharacter"/>
                    <w:sz w:val="19"/>
                    <w:szCs w:val="19"/>
                  </w:rPr>
                  <w:t xml:space="preserve">access to specialised pathology services such as microbiological virology investigations and advice </w:t>
                </w:r>
              </w:p>
              <w:p w14:paraId="5558137A" w14:textId="77777777" w:rsidR="002B04EB" w:rsidRPr="002B04EB" w:rsidRDefault="002B04EB" w:rsidP="002B04EB">
                <w:pPr>
                  <w:pStyle w:val="ListBullet"/>
                  <w:numPr>
                    <w:ilvl w:val="0"/>
                    <w:numId w:val="19"/>
                  </w:numPr>
                  <w:spacing w:after="0" w:line="240" w:lineRule="auto"/>
                  <w:rPr>
                    <w:rStyle w:val="ClearCharacter"/>
                    <w:sz w:val="19"/>
                    <w:szCs w:val="19"/>
                  </w:rPr>
                </w:pPr>
                <w:r w:rsidRPr="002B04EB">
                  <w:rPr>
                    <w:rStyle w:val="ClearCharacter"/>
                    <w:sz w:val="19"/>
                    <w:szCs w:val="19"/>
                  </w:rPr>
                  <w:t xml:space="preserve">cytogenetics service, with flow cytometry / cytochemistry, chromosome analysis and immunophenotyping carried out within 18 days </w:t>
                </w:r>
              </w:p>
              <w:p w14:paraId="2EF018AC" w14:textId="77777777" w:rsidR="002B04EB" w:rsidRPr="002B04EB" w:rsidRDefault="002B04EB" w:rsidP="002B04EB">
                <w:pPr>
                  <w:pStyle w:val="ListBullet"/>
                  <w:numPr>
                    <w:ilvl w:val="0"/>
                    <w:numId w:val="19"/>
                  </w:numPr>
                  <w:spacing w:after="0" w:line="240" w:lineRule="auto"/>
                  <w:rPr>
                    <w:rStyle w:val="ClearCharacter"/>
                    <w:sz w:val="19"/>
                    <w:szCs w:val="19"/>
                  </w:rPr>
                </w:pPr>
                <w:r w:rsidRPr="002B04EB">
                  <w:rPr>
                    <w:rStyle w:val="ClearCharacter"/>
                    <w:sz w:val="19"/>
                    <w:szCs w:val="19"/>
                  </w:rPr>
                  <w:t xml:space="preserve">cell culture facilities and cryopreservation </w:t>
                </w:r>
              </w:p>
              <w:p w14:paraId="4BEF40CC" w14:textId="77777777" w:rsidR="002B04EB" w:rsidRPr="002B04EB" w:rsidRDefault="002B04EB" w:rsidP="002B04EB">
                <w:pPr>
                  <w:pStyle w:val="ListBullet"/>
                  <w:numPr>
                    <w:ilvl w:val="0"/>
                    <w:numId w:val="19"/>
                  </w:numPr>
                  <w:spacing w:after="0" w:line="240" w:lineRule="auto"/>
                  <w:rPr>
                    <w:rStyle w:val="ClearCharacter"/>
                    <w:sz w:val="19"/>
                    <w:szCs w:val="19"/>
                  </w:rPr>
                </w:pPr>
                <w:r w:rsidRPr="002B04EB">
                  <w:rPr>
                    <w:rStyle w:val="ClearCharacter"/>
                    <w:sz w:val="19"/>
                    <w:szCs w:val="19"/>
                  </w:rPr>
                  <w:t xml:space="preserve">same-day therapeutic drug level results </w:t>
                </w:r>
              </w:p>
              <w:p w14:paraId="02419D80" w14:textId="3495A26F" w:rsidR="002B04EB" w:rsidRPr="002B04EB" w:rsidRDefault="002B04EB" w:rsidP="002B04EB">
                <w:pPr>
                  <w:pStyle w:val="ListBullet"/>
                  <w:numPr>
                    <w:ilvl w:val="1"/>
                    <w:numId w:val="20"/>
                  </w:numPr>
                  <w:spacing w:after="0" w:line="240" w:lineRule="auto"/>
                  <w:ind w:left="731"/>
                  <w:rPr>
                    <w:rStyle w:val="ClearCharacter"/>
                    <w:sz w:val="19"/>
                    <w:szCs w:val="19"/>
                  </w:rPr>
                </w:pPr>
                <w:r w:rsidRPr="002B04EB">
                  <w:rPr>
                    <w:rStyle w:val="ClearCharacter"/>
                    <w:sz w:val="19"/>
                    <w:szCs w:val="19"/>
                  </w:rPr>
                  <w:t>comprehensive facilities for molecular as well as serological techniques of tissue for typing and matching.</w:t>
                </w:r>
              </w:p>
            </w:tc>
            <w:tc>
              <w:tcPr>
                <w:tcW w:w="1394" w:type="dxa"/>
                <w:tcBorders>
                  <w:top w:val="single" w:sz="2" w:space="0" w:color="auto"/>
                  <w:left w:val="single" w:sz="2" w:space="0" w:color="auto"/>
                  <w:bottom w:val="single" w:sz="2" w:space="0" w:color="auto"/>
                  <w:right w:val="single" w:sz="2" w:space="0" w:color="auto"/>
                </w:tcBorders>
              </w:tcPr>
              <w:p w14:paraId="2A43F22C" w14:textId="77777777" w:rsidR="002B04EB" w:rsidRPr="00557B8C" w:rsidRDefault="002B04EB"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BAE3E15" w14:textId="77777777" w:rsidR="002B04EB" w:rsidRPr="00557B8C" w:rsidRDefault="002B04EB" w:rsidP="00557B8C">
                <w:pPr>
                  <w:tabs>
                    <w:tab w:val="left" w:pos="720"/>
                  </w:tabs>
                  <w:spacing w:line="240" w:lineRule="auto"/>
                  <w:rPr>
                    <w:color w:val="auto"/>
                    <w:sz w:val="19"/>
                    <w:szCs w:val="19"/>
                  </w:rPr>
                </w:pPr>
              </w:p>
            </w:tc>
          </w:tr>
          <w:tr w:rsidR="002B04EB" w:rsidRPr="00371A1D" w14:paraId="61EC6FD8" w14:textId="77777777" w:rsidTr="00E45740">
            <w:tc>
              <w:tcPr>
                <w:tcW w:w="3598" w:type="dxa"/>
                <w:tcBorders>
                  <w:top w:val="single" w:sz="2" w:space="0" w:color="auto"/>
                  <w:left w:val="single" w:sz="12" w:space="0" w:color="auto"/>
                  <w:bottom w:val="single" w:sz="2" w:space="0" w:color="auto"/>
                  <w:right w:val="single" w:sz="2" w:space="0" w:color="auto"/>
                </w:tcBorders>
              </w:tcPr>
              <w:p w14:paraId="31705D55" w14:textId="77777777" w:rsidR="002B04EB" w:rsidRPr="002B04EB" w:rsidRDefault="002B04EB" w:rsidP="002B04EB">
                <w:pPr>
                  <w:pStyle w:val="Default"/>
                  <w:numPr>
                    <w:ilvl w:val="0"/>
                    <w:numId w:val="22"/>
                  </w:numPr>
                  <w:rPr>
                    <w:rStyle w:val="ClearCharacter"/>
                    <w:rFonts w:ascii="Fira Sans" w:hAnsi="Fira Sans" w:cstheme="minorBidi"/>
                    <w:color w:val="3A3E3E" w:themeColor="background2" w:themeShade="40"/>
                    <w:kern w:val="21"/>
                    <w:sz w:val="19"/>
                    <w:szCs w:val="19"/>
                    <w:lang w:val="en-US"/>
                    <w14:numSpacing w14:val="proportional"/>
                  </w:rPr>
                </w:pPr>
                <w:r w:rsidRPr="002B04EB">
                  <w:rPr>
                    <w:rStyle w:val="ClearCharacter"/>
                    <w:rFonts w:ascii="Fira Sans" w:hAnsi="Fira Sans" w:cstheme="minorBidi"/>
                    <w:color w:val="3A3E3E" w:themeColor="background2" w:themeShade="40"/>
                    <w:kern w:val="21"/>
                    <w:sz w:val="19"/>
                    <w:szCs w:val="19"/>
                    <w:lang w:val="en-US"/>
                    <w14:numSpacing w14:val="proportional"/>
                  </w:rPr>
                  <w:t xml:space="preserve">where applicable to haematological transplantation services: </w:t>
                </w:r>
              </w:p>
              <w:p w14:paraId="3EB95AEC" w14:textId="77777777" w:rsidR="002B04EB" w:rsidRPr="002B04EB" w:rsidRDefault="002B04EB" w:rsidP="002B04EB">
                <w:pPr>
                  <w:pStyle w:val="Default"/>
                  <w:numPr>
                    <w:ilvl w:val="0"/>
                    <w:numId w:val="23"/>
                  </w:numPr>
                  <w:rPr>
                    <w:rStyle w:val="ClearCharacter"/>
                    <w:rFonts w:ascii="Fira Sans" w:hAnsi="Fira Sans" w:cstheme="minorBidi"/>
                    <w:color w:val="3A3E3E" w:themeColor="background2" w:themeShade="40"/>
                    <w:kern w:val="21"/>
                    <w:sz w:val="19"/>
                    <w:szCs w:val="19"/>
                    <w:lang w:val="en-US"/>
                    <w14:numSpacing w14:val="proportional"/>
                  </w:rPr>
                </w:pPr>
                <w:r w:rsidRPr="002B04EB">
                  <w:rPr>
                    <w:rStyle w:val="ClearCharacter"/>
                    <w:rFonts w:ascii="Fira Sans" w:hAnsi="Fira Sans" w:cstheme="minorBidi"/>
                    <w:color w:val="3A3E3E" w:themeColor="background2" w:themeShade="40"/>
                    <w:kern w:val="21"/>
                    <w:sz w:val="19"/>
                    <w:szCs w:val="19"/>
                    <w:lang w:val="en-US"/>
                    <w14:numSpacing w14:val="proportional"/>
                  </w:rPr>
                  <w:t xml:space="preserve">access to accredited laboratory services with appropriate quality controls in collection, processing and storage of bone marrow and peripheral blood stem cells </w:t>
                </w:r>
              </w:p>
              <w:p w14:paraId="7392E022" w14:textId="77777777" w:rsidR="002B04EB" w:rsidRDefault="002B04EB" w:rsidP="002B04EB">
                <w:pPr>
                  <w:pStyle w:val="Default"/>
                  <w:numPr>
                    <w:ilvl w:val="0"/>
                    <w:numId w:val="23"/>
                  </w:numPr>
                  <w:rPr>
                    <w:rStyle w:val="ClearCharacter"/>
                    <w:rFonts w:ascii="Fira Sans" w:hAnsi="Fira Sans" w:cstheme="minorBidi"/>
                    <w:color w:val="3A3E3E" w:themeColor="background2" w:themeShade="40"/>
                    <w:kern w:val="21"/>
                    <w:sz w:val="19"/>
                    <w:szCs w:val="19"/>
                    <w:lang w:val="en-US"/>
                    <w14:numSpacing w14:val="proportional"/>
                  </w:rPr>
                </w:pPr>
                <w:r w:rsidRPr="002B04EB">
                  <w:rPr>
                    <w:rStyle w:val="ClearCharacter"/>
                    <w:rFonts w:ascii="Fira Sans" w:hAnsi="Fira Sans" w:cstheme="minorBidi"/>
                    <w:color w:val="3A3E3E" w:themeColor="background2" w:themeShade="40"/>
                    <w:kern w:val="21"/>
                    <w:sz w:val="19"/>
                    <w:szCs w:val="19"/>
                    <w:lang w:val="en-US"/>
                    <w14:numSpacing w14:val="proportional"/>
                  </w:rPr>
                  <w:t xml:space="preserve">cryopreservation for autologous transplantation </w:t>
                </w:r>
              </w:p>
              <w:p w14:paraId="5D32AE3E" w14:textId="1E1A5746" w:rsidR="002B04EB" w:rsidRPr="002B04EB" w:rsidRDefault="002B04EB" w:rsidP="002B04EB">
                <w:pPr>
                  <w:pStyle w:val="Default"/>
                  <w:numPr>
                    <w:ilvl w:val="0"/>
                    <w:numId w:val="23"/>
                  </w:numPr>
                  <w:rPr>
                    <w:rStyle w:val="ClearCharacter"/>
                    <w:rFonts w:ascii="Fira Sans" w:hAnsi="Fira Sans" w:cstheme="minorBidi"/>
                    <w:color w:val="3A3E3E" w:themeColor="background2" w:themeShade="40"/>
                    <w:kern w:val="21"/>
                    <w:sz w:val="19"/>
                    <w:szCs w:val="19"/>
                    <w:lang w:val="en-US"/>
                    <w14:numSpacing w14:val="proportional"/>
                  </w:rPr>
                </w:pPr>
                <w:r w:rsidRPr="002B04EB">
                  <w:rPr>
                    <w:rStyle w:val="ClearCharacter"/>
                    <w:rFonts w:ascii="Fira Sans" w:hAnsi="Fira Sans" w:cstheme="minorBidi"/>
                    <w:color w:val="3A3E3E" w:themeColor="background2" w:themeShade="40"/>
                    <w:kern w:val="21"/>
                    <w:sz w:val="19"/>
                    <w:szCs w:val="19"/>
                    <w:lang w:val="en-US"/>
                    <w14:numSpacing w14:val="proportional"/>
                  </w:rPr>
                  <w:t>procedures in place to ensure clonogenic capacity and sterility of stem cell preparations by specific clinical scientists.</w:t>
                </w:r>
              </w:p>
            </w:tc>
            <w:tc>
              <w:tcPr>
                <w:tcW w:w="1394" w:type="dxa"/>
                <w:tcBorders>
                  <w:top w:val="single" w:sz="2" w:space="0" w:color="auto"/>
                  <w:left w:val="single" w:sz="2" w:space="0" w:color="auto"/>
                  <w:bottom w:val="single" w:sz="2" w:space="0" w:color="auto"/>
                  <w:right w:val="single" w:sz="2" w:space="0" w:color="auto"/>
                </w:tcBorders>
              </w:tcPr>
              <w:p w14:paraId="7C537AA7" w14:textId="77777777" w:rsidR="002B04EB" w:rsidRPr="00557B8C" w:rsidRDefault="002B04EB"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955BB8" w14:textId="77777777" w:rsidR="002B04EB" w:rsidRPr="00557B8C" w:rsidRDefault="002B04EB" w:rsidP="00557B8C">
                <w:pPr>
                  <w:tabs>
                    <w:tab w:val="left" w:pos="720"/>
                  </w:tabs>
                  <w:spacing w:line="240" w:lineRule="auto"/>
                  <w:rPr>
                    <w:color w:val="auto"/>
                    <w:sz w:val="19"/>
                    <w:szCs w:val="19"/>
                  </w:rPr>
                </w:pP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19D55397" w14:textId="77777777" w:rsidR="00566CBE" w:rsidRPr="005D6EC6" w:rsidRDefault="00566CBE" w:rsidP="002B04EB">
                <w:pPr>
                  <w:pStyle w:val="ListBullet"/>
                  <w:numPr>
                    <w:ilvl w:val="0"/>
                    <w:numId w:val="20"/>
                  </w:numPr>
                  <w:spacing w:after="0" w:line="240" w:lineRule="auto"/>
                  <w:ind w:left="340" w:hanging="340"/>
                  <w:rPr>
                    <w:rStyle w:val="ClearCharacter"/>
                    <w:sz w:val="19"/>
                    <w:szCs w:val="19"/>
                  </w:rPr>
                </w:pPr>
                <w:r w:rsidRPr="005D6EC6">
                  <w:rPr>
                    <w:rStyle w:val="ClearCharacter"/>
                    <w:sz w:val="19"/>
                    <w:szCs w:val="19"/>
                  </w:rPr>
                  <w:t>services from NATA / RCPA accredited category GX or GY laboratory with:</w:t>
                </w:r>
              </w:p>
              <w:p w14:paraId="27F48260" w14:textId="77777777" w:rsidR="00566CBE" w:rsidRPr="005D6EC6" w:rsidRDefault="00566CBE" w:rsidP="002B04EB">
                <w:pPr>
                  <w:pStyle w:val="ListBullet"/>
                  <w:numPr>
                    <w:ilvl w:val="1"/>
                    <w:numId w:val="15"/>
                  </w:numPr>
                  <w:spacing w:after="0" w:line="240" w:lineRule="auto"/>
                  <w:rPr>
                    <w:rStyle w:val="ClearCharacter"/>
                    <w:sz w:val="19"/>
                    <w:szCs w:val="19"/>
                  </w:rPr>
                </w:pPr>
                <w:r w:rsidRPr="005D6EC6">
                  <w:rPr>
                    <w:rStyle w:val="ClearCharacter"/>
                    <w:sz w:val="19"/>
                    <w:szCs w:val="19"/>
                  </w:rPr>
                  <w:t>on-site collection and processing capabilities</w:t>
                </w:r>
              </w:p>
              <w:p w14:paraId="6A3A7164" w14:textId="77777777" w:rsidR="00566CBE" w:rsidRPr="005D6EC6" w:rsidRDefault="00566CBE" w:rsidP="002B04EB">
                <w:pPr>
                  <w:pStyle w:val="ListBullet"/>
                  <w:numPr>
                    <w:ilvl w:val="1"/>
                    <w:numId w:val="15"/>
                  </w:numPr>
                  <w:spacing w:after="0" w:line="240" w:lineRule="auto"/>
                  <w:rPr>
                    <w:rStyle w:val="ClearCharacter"/>
                    <w:sz w:val="19"/>
                    <w:szCs w:val="19"/>
                  </w:rPr>
                </w:pPr>
                <w:r w:rsidRPr="005D6EC6">
                  <w:rPr>
                    <w:rStyle w:val="ClearCharacter"/>
                    <w:sz w:val="19"/>
                    <w:szCs w:val="19"/>
                  </w:rPr>
                  <w:t>laboratory and medical staff</w:t>
                </w:r>
              </w:p>
              <w:p w14:paraId="5F1D0555" w14:textId="77777777" w:rsidR="00566CBE" w:rsidRPr="005D6EC6" w:rsidRDefault="00566CBE" w:rsidP="002B04EB">
                <w:pPr>
                  <w:pStyle w:val="ListBullet"/>
                  <w:numPr>
                    <w:ilvl w:val="1"/>
                    <w:numId w:val="15"/>
                  </w:numPr>
                  <w:spacing w:after="0" w:line="240" w:lineRule="auto"/>
                  <w:rPr>
                    <w:rStyle w:val="ClearCharacter"/>
                    <w:sz w:val="19"/>
                    <w:szCs w:val="19"/>
                  </w:rPr>
                </w:pPr>
                <w:r w:rsidRPr="005D6EC6">
                  <w:rPr>
                    <w:rStyle w:val="ClearCharacter"/>
                    <w:sz w:val="19"/>
                    <w:szCs w:val="19"/>
                  </w:rPr>
                  <w:t>blood product storage and cross-matching capabilities</w:t>
                </w:r>
              </w:p>
              <w:p w14:paraId="77627F51" w14:textId="77777777" w:rsidR="00566CBE" w:rsidRPr="005D6EC6" w:rsidRDefault="00566CBE" w:rsidP="002B04EB">
                <w:pPr>
                  <w:pStyle w:val="ListBullet"/>
                  <w:numPr>
                    <w:ilvl w:val="1"/>
                    <w:numId w:val="15"/>
                  </w:numPr>
                  <w:spacing w:after="0" w:line="240" w:lineRule="auto"/>
                  <w:rPr>
                    <w:rStyle w:val="ClearCharacter"/>
                    <w:sz w:val="19"/>
                    <w:szCs w:val="19"/>
                  </w:rPr>
                </w:pPr>
                <w:r w:rsidRPr="005D6EC6">
                  <w:rPr>
                    <w:rStyle w:val="ClearCharacter"/>
                    <w:sz w:val="19"/>
                    <w:szCs w:val="19"/>
                  </w:rPr>
                  <w:t>fine needle aspiration</w:t>
                </w:r>
              </w:p>
              <w:p w14:paraId="742E5935" w14:textId="18BB46C8" w:rsidR="00294B2A" w:rsidRPr="005D6EC6" w:rsidRDefault="00566CBE" w:rsidP="002B04EB">
                <w:pPr>
                  <w:pStyle w:val="Default"/>
                  <w:numPr>
                    <w:ilvl w:val="1"/>
                    <w:numId w:val="10"/>
                  </w:numPr>
                  <w:ind w:left="731"/>
                  <w:rPr>
                    <w:rFonts w:ascii="Fira Sans" w:hAnsi="Fira Sans"/>
                    <w:sz w:val="19"/>
                    <w:szCs w:val="19"/>
                  </w:rPr>
                </w:pPr>
                <w:r w:rsidRPr="005D6EC6">
                  <w:rPr>
                    <w:rStyle w:val="ClearCharacter"/>
                    <w:rFonts w:ascii="Fira Sans" w:hAnsi="Fira Sans"/>
                    <w:color w:val="3A3E3E" w:themeColor="background2" w:themeShade="40"/>
                    <w:sz w:val="19"/>
                    <w:szCs w:val="19"/>
                  </w:rPr>
                  <w:t>frozen sections services.</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557B8C" w:rsidRDefault="00294B2A" w:rsidP="00557B8C">
                <w:pPr>
                  <w:tabs>
                    <w:tab w:val="left" w:pos="720"/>
                  </w:tabs>
                  <w:spacing w:line="240" w:lineRule="auto"/>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196F2A78" w:rsidR="00294B2A" w:rsidRPr="005D6EC6" w:rsidRDefault="00566CBE" w:rsidP="002B04EB">
                <w:pPr>
                  <w:pStyle w:val="Default"/>
                  <w:numPr>
                    <w:ilvl w:val="0"/>
                    <w:numId w:val="16"/>
                  </w:numPr>
                  <w:rPr>
                    <w:rFonts w:ascii="Fira Sans" w:hAnsi="Fira Sans"/>
                    <w:sz w:val="19"/>
                    <w:szCs w:val="19"/>
                  </w:rPr>
                </w:pPr>
                <w:r w:rsidRPr="005D6EC6">
                  <w:rPr>
                    <w:rStyle w:val="ClearCharacter"/>
                    <w:rFonts w:ascii="Fira Sans" w:hAnsi="Fira Sans"/>
                    <w:color w:val="3A3E3E" w:themeColor="background2" w:themeShade="40"/>
                    <w:sz w:val="19"/>
                    <w:szCs w:val="19"/>
                  </w:rPr>
                  <w:lastRenderedPageBreak/>
                  <w:t>pathologists present at laboratory during business hours and accessible 24/7, including weekends and holidays</w:t>
                </w:r>
                <w:r w:rsidR="005D6EC6"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557B8C" w:rsidRDefault="00294B2A" w:rsidP="00557B8C">
                <w:pPr>
                  <w:tabs>
                    <w:tab w:val="left" w:pos="720"/>
                  </w:tabs>
                  <w:spacing w:line="240" w:lineRule="auto"/>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7B12C07B" w:rsidR="00294B2A" w:rsidRPr="005D6EC6" w:rsidRDefault="005D6EC6" w:rsidP="002B04EB">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laboratory staff present 24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557B8C" w:rsidRDefault="00294B2A" w:rsidP="00557B8C">
                <w:pPr>
                  <w:tabs>
                    <w:tab w:val="left" w:pos="720"/>
                  </w:tabs>
                  <w:spacing w:line="240" w:lineRule="auto"/>
                  <w:rPr>
                    <w:color w:val="auto"/>
                    <w:sz w:val="19"/>
                    <w:szCs w:val="19"/>
                  </w:rPr>
                </w:pPr>
              </w:p>
            </w:tc>
          </w:tr>
          <w:tr w:rsidR="005D6EC6"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27D31905" w:rsidR="005D6EC6" w:rsidRPr="005D6EC6" w:rsidRDefault="005D6EC6" w:rsidP="002B04EB">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routine microbiology services (including culture of blood, urine, stool) undertaken and samples referred as per laboratory protocols.</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5D6EC6" w:rsidRPr="00557B8C" w:rsidRDefault="005D6EC6" w:rsidP="005D6EC6">
                <w:pPr>
                  <w:tabs>
                    <w:tab w:val="left" w:pos="720"/>
                  </w:tabs>
                  <w:spacing w:line="240" w:lineRule="auto"/>
                  <w:rPr>
                    <w:color w:val="auto"/>
                    <w:sz w:val="19"/>
                    <w:szCs w:val="19"/>
                  </w:rPr>
                </w:pPr>
              </w:p>
            </w:tc>
          </w:tr>
          <w:tr w:rsidR="005D6EC6"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65851162" w:rsidR="005D6EC6" w:rsidRPr="005D6EC6" w:rsidRDefault="005D6EC6" w:rsidP="002B04EB">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access to comprehensive suite of anatomical pathology, cytopathology, chemical pathology, haematology (including coagulation and manual differential full blood count and blood banking), immunopathology and microbiology general and specialist services and transfusion service 24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5D6EC6" w:rsidRPr="00557B8C" w:rsidRDefault="005D6EC6" w:rsidP="005D6EC6">
                <w:pPr>
                  <w:tabs>
                    <w:tab w:val="left" w:pos="720"/>
                  </w:tabs>
                  <w:spacing w:line="240" w:lineRule="auto"/>
                  <w:rPr>
                    <w:color w:val="auto"/>
                    <w:sz w:val="19"/>
                    <w:szCs w:val="19"/>
                  </w:rPr>
                </w:pPr>
              </w:p>
            </w:tc>
          </w:tr>
          <w:tr w:rsidR="005D6EC6"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6BF17F13" w14:textId="11F83B97" w:rsidR="005D6EC6" w:rsidRPr="005D6EC6" w:rsidRDefault="005D6EC6" w:rsidP="002B04EB">
                <w:pPr>
                  <w:pStyle w:val="Default"/>
                  <w:numPr>
                    <w:ilvl w:val="0"/>
                    <w:numId w:val="8"/>
                  </w:numPr>
                  <w:rPr>
                    <w:rFonts w:ascii="Fira Sans" w:hAnsi="Fira Sans"/>
                    <w:sz w:val="19"/>
                    <w:szCs w:val="19"/>
                  </w:rPr>
                </w:pPr>
                <w:r w:rsidRPr="005D6EC6">
                  <w:rPr>
                    <w:rStyle w:val="ClearCharacter"/>
                    <w:rFonts w:ascii="Fira Sans" w:hAnsi="Fira Sans"/>
                    <w:color w:val="3A3E3E" w:themeColor="background2" w:themeShade="40"/>
                    <w:sz w:val="19"/>
                    <w:szCs w:val="19"/>
                  </w:rPr>
                  <w:t>routine anatomical pathology available within 96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5D6EC6" w:rsidRPr="00557B8C" w:rsidRDefault="005D6EC6" w:rsidP="005D6EC6">
                <w:pPr>
                  <w:tabs>
                    <w:tab w:val="left" w:pos="720"/>
                  </w:tabs>
                  <w:spacing w:line="240" w:lineRule="auto"/>
                  <w:rPr>
                    <w:color w:val="auto"/>
                    <w:sz w:val="19"/>
                    <w:szCs w:val="19"/>
                  </w:rPr>
                </w:pPr>
              </w:p>
            </w:tc>
          </w:tr>
          <w:tr w:rsidR="005D6EC6"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5D6EC6" w:rsidRPr="00557B8C" w:rsidRDefault="005D6EC6" w:rsidP="005D6EC6">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Pr="00557B8C">
                  <w:rPr>
                    <w:rFonts w:cstheme="minorHAnsi"/>
                    <w:b/>
                    <w:bCs/>
                    <w:i/>
                    <w:iCs/>
                    <w:color w:val="0F59A0"/>
                    <w:kern w:val="21"/>
                    <w:sz w:val="19"/>
                    <w:szCs w:val="19"/>
                    <w:lang w:val="en-AU" w:eastAsia="en-AU"/>
                    <w14:numSpacing w14:val="proportional"/>
                  </w:rPr>
                  <w:t>Workforce requirements:</w:t>
                </w:r>
              </w:p>
            </w:tc>
          </w:tr>
          <w:tr w:rsidR="005D6EC6"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710BE02" w:rsidR="005D6EC6" w:rsidRPr="005D6EC6" w:rsidRDefault="005D6EC6" w:rsidP="005D6EC6">
                <w:pPr>
                  <w:pStyle w:val="Default"/>
                  <w:numPr>
                    <w:ilvl w:val="0"/>
                    <w:numId w:val="8"/>
                  </w:numPr>
                  <w:ind w:left="357" w:hanging="357"/>
                  <w:rPr>
                    <w:rFonts w:ascii="Fira Sans" w:hAnsi="Fira Sans"/>
                    <w:sz w:val="19"/>
                    <w:szCs w:val="19"/>
                  </w:rPr>
                </w:pPr>
                <w:r w:rsidRPr="005D6EC6">
                  <w:rPr>
                    <w:rStyle w:val="ClearCharacter"/>
                    <w:rFonts w:ascii="Fira Sans" w:hAnsi="Fira Sans"/>
                    <w:color w:val="3A3E3E" w:themeColor="background2" w:themeShade="40"/>
                    <w:sz w:val="19"/>
                    <w:szCs w:val="19"/>
                  </w:rPr>
                  <w:t>laboratories staffed in accordance with relevant NPAAC standards</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5D6EC6" w:rsidRPr="00557B8C" w:rsidRDefault="005D6EC6" w:rsidP="005D6EC6">
                <w:pPr>
                  <w:tabs>
                    <w:tab w:val="left" w:pos="720"/>
                  </w:tabs>
                  <w:spacing w:line="240" w:lineRule="auto"/>
                  <w:rPr>
                    <w:color w:val="auto"/>
                    <w:sz w:val="19"/>
                    <w:szCs w:val="19"/>
                  </w:rPr>
                </w:pPr>
              </w:p>
            </w:tc>
          </w:tr>
          <w:tr w:rsidR="005D6EC6"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152309B6" w:rsidR="005D6EC6" w:rsidRPr="005D6EC6" w:rsidRDefault="005D6EC6" w:rsidP="005D6EC6">
                <w:pPr>
                  <w:pStyle w:val="Default"/>
                  <w:numPr>
                    <w:ilvl w:val="0"/>
                    <w:numId w:val="11"/>
                  </w:numPr>
                  <w:ind w:left="357" w:hanging="357"/>
                  <w:rPr>
                    <w:rFonts w:ascii="Fira Sans" w:hAnsi="Fira Sans"/>
                    <w:color w:val="3A3E3E" w:themeColor="background2" w:themeShade="40"/>
                    <w:sz w:val="19"/>
                    <w:szCs w:val="19"/>
                  </w:rPr>
                </w:pPr>
                <w:r w:rsidRPr="005D6EC6">
                  <w:rPr>
                    <w:rStyle w:val="ClearCharacter"/>
                    <w:rFonts w:ascii="Fira Sans" w:hAnsi="Fira Sans"/>
                    <w:color w:val="3A3E3E" w:themeColor="background2" w:themeShade="40"/>
                    <w:sz w:val="19"/>
                    <w:szCs w:val="19"/>
                  </w:rPr>
                  <w:t>supervisory roles for each of the laboratories defined as per laboratory categories</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5D6EC6" w:rsidRPr="00557B8C" w:rsidRDefault="005D6EC6" w:rsidP="005D6EC6">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5D6EC6" w:rsidRPr="00557B8C" w:rsidRDefault="005D6EC6" w:rsidP="005D6EC6">
                <w:pPr>
                  <w:spacing w:line="240" w:lineRule="auto"/>
                  <w:rPr>
                    <w:sz w:val="19"/>
                    <w:szCs w:val="19"/>
                  </w:rPr>
                </w:pPr>
              </w:p>
            </w:tc>
          </w:tr>
          <w:tr w:rsidR="005D6EC6"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5D6EC6" w:rsidRPr="00557B8C" w:rsidRDefault="005D6EC6" w:rsidP="005D6EC6">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Pr="00557B8C">
                  <w:rPr>
                    <w:rFonts w:cstheme="minorHAnsi"/>
                    <w:b/>
                    <w:bCs/>
                    <w:i/>
                    <w:iCs/>
                    <w:color w:val="0F59A0"/>
                    <w:kern w:val="21"/>
                    <w:sz w:val="19"/>
                    <w:szCs w:val="19"/>
                    <w:lang w:val="en-AU" w:eastAsia="en-AU"/>
                    <w14:numSpacing w14:val="proportional"/>
                  </w:rPr>
                  <w:t>Specific Risk Considerations:</w:t>
                </w:r>
              </w:p>
            </w:tc>
          </w:tr>
          <w:tr w:rsidR="005D6EC6"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3782C8D7" w:rsidR="005D6EC6" w:rsidRPr="00557B8C" w:rsidRDefault="005D6EC6" w:rsidP="005D6EC6">
                <w:pPr>
                  <w:pStyle w:val="Heading5"/>
                  <w:numPr>
                    <w:ilvl w:val="0"/>
                    <w:numId w:val="12"/>
                  </w:numPr>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5D6EC6" w:rsidRPr="00557B8C" w:rsidRDefault="005D6EC6" w:rsidP="005D6EC6">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5D6EC6" w:rsidRPr="00557B8C" w:rsidRDefault="005D6EC6" w:rsidP="005D6EC6">
                <w:pPr>
                  <w:spacing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2B04EB"/>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2B04EB"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2B04EB">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2B04EB">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2B04EB">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3C42593"/>
    <w:multiLevelType w:val="hybridMultilevel"/>
    <w:tmpl w:val="872E8904"/>
    <w:lvl w:ilvl="0" w:tplc="8FAAF1AC">
      <w:start w:val="1"/>
      <w:numFmt w:val="bullet"/>
      <w:lvlText w:val="□"/>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DD5622"/>
    <w:multiLevelType w:val="hybridMultilevel"/>
    <w:tmpl w:val="61EE7D54"/>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3B171AD"/>
    <w:multiLevelType w:val="hybridMultilevel"/>
    <w:tmpl w:val="89DAEF20"/>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403EEB"/>
    <w:multiLevelType w:val="multilevel"/>
    <w:tmpl w:val="D61EDFF8"/>
    <w:lvl w:ilvl="0">
      <w:start w:val="1"/>
      <w:numFmt w:val="bullet"/>
      <w:pStyle w:val="Heading5Char"/>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15:restartNumberingAfterBreak="0">
    <w:nsid w:val="28686500"/>
    <w:multiLevelType w:val="hybridMultilevel"/>
    <w:tmpl w:val="456EFADE"/>
    <w:lvl w:ilvl="0" w:tplc="0C090001">
      <w:start w:val="1"/>
      <w:numFmt w:val="bullet"/>
      <w:lvlText w:val=""/>
      <w:lvlJc w:val="left"/>
      <w:pPr>
        <w:ind w:left="720" w:hanging="360"/>
      </w:pPr>
      <w:rPr>
        <w:rFonts w:ascii="Symbol" w:hAnsi="Symbol" w:hint="default"/>
      </w:rPr>
    </w:lvl>
    <w:lvl w:ilvl="1" w:tplc="34B0B7E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6B7D4B"/>
    <w:multiLevelType w:val="hybridMultilevel"/>
    <w:tmpl w:val="D3C855CC"/>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406B6"/>
    <w:multiLevelType w:val="hybridMultilevel"/>
    <w:tmpl w:val="5622BA48"/>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094328"/>
    <w:multiLevelType w:val="multilevel"/>
    <w:tmpl w:val="C2FE460C"/>
    <w:numStyleLink w:val="Bullets"/>
  </w:abstractNum>
  <w:abstractNum w:abstractNumId="16" w15:restartNumberingAfterBreak="0">
    <w:nsid w:val="4FF10A3F"/>
    <w:multiLevelType w:val="hybridMultilevel"/>
    <w:tmpl w:val="646A9D48"/>
    <w:lvl w:ilvl="0" w:tplc="6D9438BA">
      <w:start w:val="1"/>
      <w:numFmt w:val="bullet"/>
      <w:lvlText w:val=""/>
      <w:lvlJc w:val="left"/>
      <w:pPr>
        <w:ind w:left="360" w:hanging="360"/>
      </w:pPr>
      <w:rPr>
        <w:rFonts w:ascii="Symbol" w:hAnsi="Symbol" w:hint="default"/>
        <w:color w:val="0F5CA2"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8" w15:restartNumberingAfterBreak="0">
    <w:nsid w:val="58C83441"/>
    <w:multiLevelType w:val="multilevel"/>
    <w:tmpl w:val="D6004FE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5A995A96"/>
    <w:multiLevelType w:val="hybridMultilevel"/>
    <w:tmpl w:val="E0C0CD32"/>
    <w:lvl w:ilvl="0" w:tplc="34B0B7E2">
      <w:start w:val="1"/>
      <w:numFmt w:val="bullet"/>
      <w:lvlText w:val="­"/>
      <w:lvlJc w:val="left"/>
      <w:pPr>
        <w:ind w:left="360" w:hanging="360"/>
      </w:pPr>
      <w:rPr>
        <w:rFonts w:ascii="Courier New" w:hAnsi="Courier New"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0"/>
  </w:num>
  <w:num w:numId="3">
    <w:abstractNumId w:val="14"/>
  </w:num>
  <w:num w:numId="4">
    <w:abstractNumId w:val="9"/>
  </w:num>
  <w:num w:numId="5">
    <w:abstractNumId w:val="17"/>
  </w:num>
  <w:num w:numId="6">
    <w:abstractNumId w:val="15"/>
  </w:num>
  <w:num w:numId="7">
    <w:abstractNumId w:val="3"/>
  </w:num>
  <w:num w:numId="8">
    <w:abstractNumId w:val="20"/>
  </w:num>
  <w:num w:numId="9">
    <w:abstractNumId w:val="21"/>
  </w:num>
  <w:num w:numId="10">
    <w:abstractNumId w:val="19"/>
  </w:num>
  <w:num w:numId="11">
    <w:abstractNumId w:val="2"/>
  </w:num>
  <w:num w:numId="12">
    <w:abstractNumId w:val="11"/>
  </w:num>
  <w:num w:numId="13">
    <w:abstractNumId w:val="10"/>
  </w:num>
  <w:num w:numId="14">
    <w:abstractNumId w:val="7"/>
    <w:lvlOverride w:ilvl="0">
      <w:lvl w:ilvl="0">
        <w:start w:val="1"/>
        <w:numFmt w:val="bullet"/>
        <w:pStyle w:val="Heading5Char"/>
        <w:lvlText w:val=""/>
        <w:lvlJc w:val="left"/>
        <w:pPr>
          <w:ind w:left="360" w:hanging="360"/>
        </w:pPr>
        <w:rPr>
          <w:rFonts w:ascii="Symbol" w:hAnsi="Symbol" w:hint="default"/>
          <w:color w:val="0F5CA2" w:themeColor="accent1"/>
        </w:rPr>
      </w:lvl>
    </w:lvlOverride>
  </w:num>
  <w:num w:numId="15">
    <w:abstractNumId w:val="18"/>
  </w:num>
  <w:num w:numId="16">
    <w:abstractNumId w:val="4"/>
  </w:num>
  <w:num w:numId="17">
    <w:abstractNumId w:val="6"/>
  </w:num>
  <w:num w:numId="18">
    <w:abstractNumId w:val="1"/>
  </w:num>
  <w:num w:numId="19">
    <w:abstractNumId w:val="12"/>
  </w:num>
  <w:num w:numId="20">
    <w:abstractNumId w:val="8"/>
  </w:num>
  <w:num w:numId="21">
    <w:abstractNumId w:val="7"/>
    <w:lvlOverride w:ilvl="0">
      <w:lvl w:ilvl="0">
        <w:start w:val="1"/>
        <w:numFmt w:val="bullet"/>
        <w:pStyle w:val="Heading5Char"/>
        <w:lvlText w:val=""/>
        <w:lvlJc w:val="left"/>
        <w:pPr>
          <w:ind w:left="360" w:hanging="360"/>
        </w:pPr>
        <w:rPr>
          <w:rFonts w:ascii="Symbol" w:hAnsi="Symbol" w:hint="default"/>
          <w:color w:val="0F5CA2" w:themeColor="accent1"/>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22">
    <w:abstractNumId w:val="16"/>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93E57"/>
    <w:rsid w:val="001A1C02"/>
    <w:rsid w:val="001A23D2"/>
    <w:rsid w:val="001A3417"/>
    <w:rsid w:val="001A5624"/>
    <w:rsid w:val="001A6159"/>
    <w:rsid w:val="001B0382"/>
    <w:rsid w:val="001B5203"/>
    <w:rsid w:val="001B71F5"/>
    <w:rsid w:val="001C11EA"/>
    <w:rsid w:val="001C7496"/>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04EB"/>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29C9"/>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57B8C"/>
    <w:rsid w:val="0056004A"/>
    <w:rsid w:val="0056129F"/>
    <w:rsid w:val="005619DA"/>
    <w:rsid w:val="005655C9"/>
    <w:rsid w:val="00566CBE"/>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D6EC6"/>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5E7"/>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C7B7D"/>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2D24"/>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0" ma:contentTypeDescription="Create a new document." ma:contentTypeScope="" ma:versionID="75efae26202611d8a1789930186f60a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8BBB0436-DAA4-40BA-9B92-DD9808103DD4}"/>
</file>

<file path=customXml/itemProps5.xml><?xml version="1.0" encoding="utf-8"?>
<ds:datastoreItem xmlns:ds="http://schemas.openxmlformats.org/officeDocument/2006/customXml" ds:itemID="{5D861A94-1A2A-4017-98CE-FAD2099A6803}"/>
</file>

<file path=customXml/itemProps6.xml><?xml version="1.0" encoding="utf-8"?>
<ds:datastoreItem xmlns:ds="http://schemas.openxmlformats.org/officeDocument/2006/customXml" ds:itemID="{BEC3A623-220C-4D8D-811C-315F336C4816}"/>
</file>

<file path=docProps/app.xml><?xml version="1.0" encoding="utf-8"?>
<Properties xmlns="http://schemas.openxmlformats.org/officeDocument/2006/extended-properties" xmlns:vt="http://schemas.openxmlformats.org/officeDocument/2006/docPropsVTypes">
  <Template>QH A4 Portrait Word Template</Template>
  <TotalTime>7</TotalTime>
  <Pages>3</Pages>
  <Words>479</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3</cp:revision>
  <dcterms:created xsi:type="dcterms:W3CDTF">2022-02-28T06:10:00Z</dcterms:created>
  <dcterms:modified xsi:type="dcterms:W3CDTF">2022-02-28T06:18:00Z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