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:rsidRPr="00BE5433" w:rsidR="0015140A" w:rsidP="00BE5433" w:rsidRDefault="00BE5433" w14:paraId="3DD54D46" w14:textId="39814B34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04C05" w:rsidR="0084460D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BE5433" w:rsidR="0084460D" w:rsidP="00227879" w:rsidRDefault="005C0D22" w14:paraId="2915C7B1" w14:textId="27DB2AE5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BE5433" w:rsid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Pr="00BE5433" w:rsid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:rsidR="0084460D" w:rsidP="00227879" w:rsidRDefault="005C0D22" w14:paraId="439AA525" w14:textId="15162B14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00819F3F">
                    <v:stroke joinstyle="miter"/>
                    <v:path gradientshapeok="t" o:connecttype="rect"/>
                  </v:shapetype>
                  <v:shape id="Text Box 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>
                    <v:textbox>
                      <w:txbxContent>
                        <w:p w:rsidRPr="00BE5433" w:rsidR="0084460D" w:rsidP="00227879" w:rsidRDefault="005C0D22" w14:paraId="2915C7B1" w14:textId="27DB2AE5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Pr="00BE5433" w:rsid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Pr="00BE5433" w:rsid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:rsidR="0084460D" w:rsidP="00227879" w:rsidRDefault="005C0D22" w14:paraId="439AA525" w14:textId="15162B14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name="_Hlk41995800" w:id="0"/>
        </w:p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Pr="00BE5433" w:rsidR="00BE5433" w:rsidTr="00371A1D" w14:paraId="0422F50C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1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hideMark/>
              </w:tcPr>
              <w:p w:rsidRPr="00BE5433" w:rsidR="00BE5433" w:rsidP="00BE5433" w:rsidRDefault="00BE5433" w14:paraId="7111FCA0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color="auto" w:sz="1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</w:tcPr>
              <w:p w:rsidRPr="00B3484E" w:rsidR="00BE5433" w:rsidRDefault="00BE5433" w14:paraId="5A15747E" w14:textId="67E5C54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Pr="00BE5433" w:rsidR="00294B2A" w:rsidTr="00294B2A" w14:paraId="454DC870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2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</w:tcPr>
              <w:p w:rsidRPr="00BE5433" w:rsidR="00294B2A" w:rsidP="00E45740" w:rsidRDefault="00294B2A" w14:paraId="530E27E6" w14:textId="07F65D7B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color="auto" w:sz="2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</w:tcPr>
              <w:p w:rsidRPr="00EE6AF8" w:rsidR="00294B2A" w:rsidP="00E45740" w:rsidRDefault="00294B2A" w14:paraId="611D8A41" w14:textId="77777777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Pr="00BE5433" w:rsidR="00294B2A" w:rsidTr="00294B2A" w14:paraId="11FF4584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BE5433" w:rsidR="00294B2A" w:rsidP="00A97CB6" w:rsidRDefault="00294B2A" w14:paraId="30670114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</w:tcPr>
              <w:p w:rsidRPr="00B3484E" w:rsidR="00294B2A" w:rsidP="00A97CB6" w:rsidRDefault="00294B2A" w14:paraId="7AA11DC0" w14:textId="43E2C62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Pr="00BE5433" w:rsidR="00E45740" w:rsidTr="00294B2A" w14:paraId="0336DBA9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BE5433" w:rsidR="00E45740" w:rsidP="00E45740" w:rsidRDefault="00E45740" w14:paraId="4C1F76B8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hideMark/>
              </w:tcPr>
              <w:p w:rsidRPr="00B3484E" w:rsidR="00E45740" w:rsidP="00E45740" w:rsidRDefault="0088264C" w14:paraId="6E1A54DF" w14:textId="068F623A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Persistent Pain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Pr="00EE6AF8" w:rsidR="00E45740">
                  <w:rPr>
                    <w:b/>
                    <w:sz w:val="24"/>
                  </w:rPr>
                  <w:t xml:space="preserve"> </w:t>
                </w:r>
              </w:p>
            </w:tc>
          </w:tr>
          <w:tr w:rsidRPr="00BE5433" w:rsidR="00E45740" w:rsidTr="00294B2A" w14:paraId="0F37058A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12" w:space="0"/>
                  <w:right w:val="single" w:color="auto" w:sz="4" w:space="0"/>
                </w:tcBorders>
                <w:hideMark/>
              </w:tcPr>
              <w:p w:rsidRPr="00BE5433" w:rsidR="00E45740" w:rsidP="00E45740" w:rsidRDefault="00E45740" w14:paraId="6A95A48E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12" w:space="0"/>
                  <w:right w:val="single" w:color="auto" w:sz="12" w:space="0"/>
                </w:tcBorders>
                <w:hideMark/>
              </w:tcPr>
              <w:p w:rsidRPr="00B3484E" w:rsidR="00E45740" w:rsidP="00E45740" w:rsidRDefault="00EA21FC" w14:paraId="09D6C457" w14:textId="27F12157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5C0D22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:rsidRPr="00371A1D" w:rsidR="0084460D" w:rsidP="004A573D" w:rsidRDefault="004A573D" w14:paraId="68DD25D9" w14:textId="28C56057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:rsidR="004A573D" w:rsidP="004A573D" w:rsidRDefault="004A573D" w14:paraId="7BD84006" w14:textId="6A7E959A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w:history="1" r:id="rId1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:rsidRPr="00371A1D" w:rsidR="004A573D" w:rsidP="008A5632" w:rsidRDefault="004A573D" w14:paraId="6F7665CC" w14:textId="77777777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Pr="00371A1D" w:rsidR="00E45740" w:rsidTr="751B28B3" w14:paraId="553B313A" w14:textId="77777777">
            <w:trPr>
              <w:tblHeader/>
            </w:trPr>
            <w:tc>
              <w:tcPr>
                <w:tcW w:w="3598" w:type="dxa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2" w:space="0"/>
                </w:tcBorders>
                <w:tcMar/>
                <w:hideMark/>
              </w:tcPr>
              <w:p w:rsidRPr="00BF32A8" w:rsidR="00E45740" w:rsidP="00371A1D" w:rsidRDefault="00E45740" w14:paraId="6DD49627" w14:textId="7E9146A7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color="auto" w:sz="12" w:space="0"/>
                  <w:left w:val="single" w:color="auto" w:sz="2" w:space="0"/>
                  <w:bottom w:val="single" w:color="auto" w:sz="12" w:space="0"/>
                  <w:right w:val="single" w:color="auto" w:sz="2" w:space="0"/>
                </w:tcBorders>
                <w:tcMar/>
              </w:tcPr>
              <w:p w:rsidRPr="00BF32A8" w:rsidR="00E45740" w:rsidP="00E45740" w:rsidRDefault="00E45740" w14:paraId="5C5E4155" w14:textId="77777777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:rsidRPr="00BF32A8" w:rsidR="00E45740" w:rsidP="00E45740" w:rsidRDefault="00E45740" w14:paraId="5F6D3532" w14:textId="77777777">
                <w:pPr>
                  <w:pStyle w:val="Heading"/>
                  <w:spacing w:before="0" w:after="0"/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:rsidRPr="00BF32A8" w:rsidR="00E45740" w:rsidP="00E45740" w:rsidRDefault="00E45740" w14:paraId="24D2DCE2" w14:textId="77777777">
                <w:pPr>
                  <w:pStyle w:val="Heading"/>
                  <w:spacing w:before="0" w:after="0"/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:rsidRPr="00BF32A8" w:rsidR="00EF1DD0" w:rsidP="00EF1DD0" w:rsidRDefault="00EF1DD0" w14:paraId="4A4CACF0" w14:textId="7F89FC68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color="auto" w:sz="12" w:space="0"/>
                  <w:left w:val="single" w:color="auto" w:sz="2" w:space="0"/>
                  <w:bottom w:val="single" w:color="auto" w:sz="12" w:space="0"/>
                  <w:right w:val="single" w:color="auto" w:sz="12" w:space="0"/>
                </w:tcBorders>
                <w:tcMar/>
                <w:hideMark/>
              </w:tcPr>
              <w:p w:rsidRPr="00BF32A8" w:rsidR="00E45740" w:rsidP="00371A1D" w:rsidRDefault="00E45740" w14:paraId="59D9ADBA" w14:textId="4C9D5181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:rsidRPr="00BF32A8" w:rsidR="00E45740" w:rsidP="008A5632" w:rsidRDefault="00E45740" w14:paraId="0F915374" w14:textId="2B55D4D6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Pr="00371A1D" w:rsidR="00294B2A" w:rsidTr="751B28B3" w14:paraId="415357A2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BC10C7" w:rsidR="00007183" w:rsidRDefault="00294B2A" w14:paraId="7FBAEE42" w14:textId="483165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Pr="00371A1D" w:rsidR="00294B2A" w:rsidTr="751B28B3" w14:paraId="2D7FBAC3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294B2A" w:rsidP="751B28B3" w:rsidRDefault="0060787F" w14:paraId="16711445" w14:textId="77777777" w14:noSpellErr="1">
                <w:pPr>
                  <w:pStyle w:val="Default"/>
                  <w:numPr>
                    <w:ilvl w:val="0"/>
                    <w:numId w:val="46"/>
                  </w:numPr>
                  <w:ind w:left="44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Utilisation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of pain care networks to enhance the seamless delivery of persisten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t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pain management services and manage / reduce risks of gaps in treatment, 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including:</w:t>
                </w:r>
              </w:p>
              <w:p w:rsidRPr="00BC525E" w:rsidR="0049365E" w:rsidP="0049365E" w:rsidRDefault="0049365E" w14:paraId="78169FEF" w14:textId="68115958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effective triage services with clear referral and care pathways</w:t>
                </w:r>
              </w:p>
              <w:p w:rsidRPr="00BC525E" w:rsidR="0049365E" w:rsidP="751B28B3" w:rsidRDefault="0049365E" w14:paraId="496A4535" w14:textId="77777777" w14:noSpellErr="1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close working relationships with other services that require specialist pain input (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e.g.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services for oncology, surgery, older person care, chronic 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disease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and addiction)</w:t>
                </w:r>
              </w:p>
              <w:p w:rsidRPr="00BC525E" w:rsidR="0049365E" w:rsidP="0049365E" w:rsidRDefault="0049365E" w14:paraId="3E46793F" w14:textId="57C42DB3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use of a hub and spoke model to build service networks as necessary</w:t>
                </w:r>
              </w:p>
              <w:p w:rsidRPr="00BC525E" w:rsidR="0049365E" w:rsidP="0049365E" w:rsidRDefault="0049365E" w14:paraId="3BCD6B4C" w14:textId="77777777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transition and transfer of care processes for young people moving to adult health services.</w:t>
                </w:r>
              </w:p>
              <w:p w:rsidRPr="00BC525E" w:rsidR="0049365E" w:rsidP="0049365E" w:rsidRDefault="0049365E" w14:paraId="30F6AA5A" w14:textId="10652ACC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patient advocacy</w:t>
                </w:r>
              </w:p>
              <w:p w:rsidRPr="00BC525E" w:rsidR="0049365E" w:rsidP="0049365E" w:rsidRDefault="0049365E" w14:paraId="15F7EEDA" w14:textId="4E271908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professional leadership</w:t>
                </w:r>
              </w:p>
              <w:p w:rsidRPr="00BC525E" w:rsidR="0049365E" w:rsidP="0049365E" w:rsidRDefault="0049365E" w14:paraId="7E4FC42E" w14:textId="65F710C6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professional support</w:t>
                </w:r>
              </w:p>
              <w:p w:rsidRPr="00BC525E" w:rsidR="0049365E" w:rsidP="751B28B3" w:rsidRDefault="0049365E" w14:paraId="1444E019" w14:textId="308D8813" w14:noSpellErr="1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provide education and support for community 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organisations</w:t>
                </w:r>
              </w:p>
              <w:p w:rsidRPr="00BC525E" w:rsidR="0049365E" w:rsidP="751B28B3" w:rsidRDefault="0049365E" w14:paraId="2F39A6EF" w14:textId="77777777" w14:noSpellErr="1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adjust services for various groups including rural and remote medical practitioners, allied 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health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and nursing</w:t>
                </w:r>
              </w:p>
              <w:p w:rsidRPr="00BC525E" w:rsidR="0049365E" w:rsidP="0049365E" w:rsidRDefault="0049365E" w14:paraId="3394E99C" w14:textId="4B6E38D5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adjust services of various vulnerable groups including indigenous groups, the elderly and those with a disability.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72D2DC10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8B5750" w:rsidP="008B5750" w:rsidRDefault="008B5750" w14:paraId="7418832F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:rsidRPr="00BF32A8" w:rsidR="00294B2A" w:rsidP="008B5750" w:rsidRDefault="008B5750" w14:paraId="1E513C37" w14:textId="6B6D9E14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Pr="00371A1D" w:rsidR="00F36E00" w:rsidTr="751B28B3" w14:paraId="47B9458D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F36E00" w:rsidP="751B28B3" w:rsidRDefault="0049365E" w14:paraId="32DFC450" w14:textId="5835414D" w14:noSpellErr="1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documented processes with primary care and community support services to 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facilitate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discharge planning.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F36E00" w:rsidP="00294B2A" w:rsidRDefault="00F36E00" w14:paraId="4D7AFB9E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F36E00" w:rsidP="008B5750" w:rsidRDefault="00F36E00" w14:paraId="0213ABFA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EC7B78" w:rsidTr="751B28B3" w14:paraId="233FACC3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EC7B78" w:rsidP="751B28B3" w:rsidRDefault="00E433B5" w14:paraId="1580C871" w14:textId="06B8528F" w14:noSpellErr="1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751B28B3" w:rsidR="00E433B5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d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ocumented processes between lower and higher</w:t>
                </w:r>
                <w:r w:rsidRPr="751B28B3" w:rsidR="00E433B5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-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level services and across service 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networks</w:t>
                </w:r>
                <w:r w:rsidRPr="751B28B3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as necessary.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EC7B78" w:rsidP="00294B2A" w:rsidRDefault="00EC7B78" w14:paraId="089645CF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EC7B78" w:rsidP="008B5750" w:rsidRDefault="00EC7B78" w14:paraId="0800D6DE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EC7B78" w:rsidTr="751B28B3" w14:paraId="2115B5B3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EC7B78" w:rsidP="008D5E94" w:rsidRDefault="00E433B5" w14:paraId="5CD36B76" w14:textId="4F4537BD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</w:t>
                </w:r>
                <w:r w:rsidRPr="00BC525E" w:rsidR="004936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onsultancy (outreach) service provision by higher level services, where applicable.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EC7B78" w:rsidP="00294B2A" w:rsidRDefault="00EC7B78" w14:paraId="35CE77AB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EC7B78" w:rsidP="008B5750" w:rsidRDefault="00EC7B78" w14:paraId="4CD1A0E1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EC7B78" w:rsidTr="751B28B3" w14:paraId="3D6F6519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C0D22" w:rsidR="00EC7B78" w:rsidP="005C0D22" w:rsidRDefault="00E433B5" w14:paraId="268B19D3" w14:textId="4FDB655D">
                <w:pPr>
                  <w:pStyle w:val="Default"/>
                  <w:numPr>
                    <w:ilvl w:val="0"/>
                    <w:numId w:val="17"/>
                  </w:numPr>
                  <w:ind w:left="363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The service networking medium of telehealth is actively encouraged. Such services offer assessment and treatment to individual patients irrespective of their location.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EC7B78" w:rsidP="00294B2A" w:rsidRDefault="00EC7B78" w14:paraId="416A6B06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EC7B78" w:rsidP="008B5750" w:rsidRDefault="00EC7B78" w14:paraId="2A98A7F0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EC7B78" w:rsidTr="751B28B3" w14:paraId="6360D25E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C0D22" w:rsidR="00EC7B78" w:rsidP="751B28B3" w:rsidRDefault="00E433B5" w14:paraId="758651C9" w14:textId="3880A753" w14:noSpellErr="1">
                <w:pPr>
                  <w:pStyle w:val="Default"/>
                  <w:numPr>
                    <w:ilvl w:val="0"/>
                    <w:numId w:val="17"/>
                  </w:numPr>
                  <w:ind w:left="363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751B28B3" w:rsidR="00E433B5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Provides pain assessment and management services </w:t>
                </w:r>
                <w:r w:rsidRPr="751B28B3" w:rsidR="005C0D22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to ambulatory or</w:t>
                </w:r>
                <w:r w:rsidRPr="751B28B3" w:rsidR="00E433B5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community-based patients with </w:t>
                </w:r>
                <w:r w:rsidRPr="751B28B3" w:rsidR="005C0D22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moderate</w:t>
                </w:r>
                <w:r w:rsidRPr="751B28B3" w:rsidR="00E433B5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</w:t>
                </w:r>
                <w:r w:rsidRPr="751B28B3" w:rsidR="00E433B5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complexity</w:t>
                </w:r>
                <w:r w:rsidRPr="751B28B3" w:rsidR="00E433B5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pain management needs.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EC7B78" w:rsidP="00294B2A" w:rsidRDefault="00EC7B78" w14:paraId="3CFC86D4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EC7B78" w:rsidP="008B5750" w:rsidRDefault="00EC7B78" w14:paraId="3ECD41C4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5C0D22" w:rsidTr="751B28B3" w14:paraId="0C3F4D2C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C0D22" w:rsidR="005C0D22" w:rsidP="005C0D22" w:rsidRDefault="005C0D22" w14:paraId="1C8D2A05" w14:textId="6FC8A03C">
                <w:pPr>
                  <w:pStyle w:val="Default"/>
                  <w:numPr>
                    <w:ilvl w:val="0"/>
                    <w:numId w:val="17"/>
                  </w:numPr>
                  <w:ind w:left="363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  <w:t>access to pain medicine specialist support on request</w:t>
                </w: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5C0D22" w:rsidP="00294B2A" w:rsidRDefault="005C0D22" w14:paraId="6E91C4E0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5C0D22" w:rsidP="008B5750" w:rsidRDefault="005C0D22" w14:paraId="693AB504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294B2A" w:rsidTr="751B28B3" w14:paraId="19809059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86A71" w:rsidR="00294B2A" w:rsidP="00286A71" w:rsidRDefault="00294B2A" w14:paraId="033814BF" w14:textId="5833E096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Pr="00371A1D" w:rsidR="00AC1003" w:rsidTr="751B28B3" w14:paraId="6BF999CA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AC1003" w:rsidP="751B28B3" w:rsidRDefault="0060787F" w14:paraId="387FCF8F" w14:textId="6B9EF5E5" w14:noSpellErr="1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a systematic biopsychosocial approach to assessing patients experiencing persistent pain, and the multiple systems in which they live and seek 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assistance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C1003" w:rsidP="00294B2A" w:rsidRDefault="00AC1003" w14:paraId="1A4A7EB0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AC1003" w:rsidP="00294B2A" w:rsidRDefault="00AC1003" w14:paraId="36EAE255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AC1003" w:rsidTr="751B28B3" w14:paraId="04062E0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AC1003" w:rsidP="751B28B3" w:rsidRDefault="0060787F" w14:paraId="618DBC16" w14:textId="5FFB6707" w14:noSpellErr="1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provision of patient-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centred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, culturally 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appropriate case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management that 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utilises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shared decision making where 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appropriate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C1003" w:rsidP="00294B2A" w:rsidRDefault="00AC1003" w14:paraId="157592CD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AC1003" w:rsidP="00294B2A" w:rsidRDefault="00AC1003" w14:paraId="5A8D9125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AC1003" w:rsidTr="751B28B3" w14:paraId="1C1E59E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AC1003" w:rsidP="751B28B3" w:rsidRDefault="0060787F" w14:paraId="7C1FB5F9" w14:textId="7F78BFC4" w14:noSpellErr="1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provision of information, skill development, physical and psychological rehabilitation for 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patient</w:t>
                </w:r>
                <w:r w:rsidRPr="751B28B3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, their families and healthcare professionals about proactive self-management and evidence-based care.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C1003" w:rsidP="00294B2A" w:rsidRDefault="00AC1003" w14:paraId="67951AF3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AC1003" w:rsidP="00294B2A" w:rsidRDefault="00AC1003" w14:paraId="5E37C21A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4816BA" w:rsidTr="751B28B3" w14:paraId="75238E18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4816BA" w:rsidP="006C57D9" w:rsidRDefault="0060787F" w14:paraId="569374FF" w14:textId="32172E3E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relevant clinical indicator data to satisfy accreditation and other statutory reporting obligations.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4816BA" w:rsidP="00294B2A" w:rsidRDefault="004816BA" w14:paraId="71FC30CD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4816BA" w:rsidP="00294B2A" w:rsidRDefault="004816BA" w14:paraId="72E92454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4816BA" w:rsidTr="751B28B3" w14:paraId="1CB6F1ED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AC1003" w:rsidP="0060787F" w:rsidRDefault="0060787F" w14:paraId="700F17FE" w14:textId="3C61B395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BC525E">
                  <w:rPr>
                    <w:sz w:val="19"/>
                    <w:szCs w:val="19"/>
                  </w:rPr>
                  <w:t xml:space="preserve">depending on level of the service, education and training for medical practitioners, allied </w:t>
                </w:r>
                <w:proofErr w:type="gramStart"/>
                <w:r w:rsidRPr="00BC525E">
                  <w:rPr>
                    <w:sz w:val="19"/>
                    <w:szCs w:val="19"/>
                  </w:rPr>
                  <w:t>health</w:t>
                </w:r>
                <w:proofErr w:type="gramEnd"/>
                <w:r w:rsidRPr="00BC525E">
                  <w:rPr>
                    <w:sz w:val="19"/>
                    <w:szCs w:val="19"/>
                  </w:rPr>
                  <w:t xml:space="preserve"> and nursing.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4816BA" w:rsidP="00294B2A" w:rsidRDefault="004816BA" w14:paraId="0E184D0F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4816BA" w:rsidP="00294B2A" w:rsidRDefault="004816BA" w14:paraId="5550ED93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4816BA" w:rsidTr="751B28B3" w14:paraId="07682B5C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4816BA" w:rsidP="006C57D9" w:rsidRDefault="0060787F" w14:paraId="316BDC8D" w14:textId="3A74216C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BC525E">
                  <w:rPr>
                    <w:sz w:val="19"/>
                    <w:szCs w:val="19"/>
                  </w:rPr>
                  <w:t>quality and risk management programs in line with the current National Safety and Quality Health Service Standards.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4816BA" w:rsidP="00294B2A" w:rsidRDefault="004816BA" w14:paraId="11F8E3B1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4816BA" w:rsidP="00294B2A" w:rsidRDefault="004816BA" w14:paraId="1443C84F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4816BA" w:rsidTr="751B28B3" w14:paraId="5188D1DB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4816BA" w:rsidP="006C57D9" w:rsidRDefault="0060787F" w14:paraId="425425CA" w14:textId="4C0D131B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referral processes with higher level local services.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4816BA" w:rsidP="00294B2A" w:rsidRDefault="004816BA" w14:paraId="313A8728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4816BA" w:rsidP="00294B2A" w:rsidRDefault="004816BA" w14:paraId="2D5FDC07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5C0D22" w:rsidTr="751B28B3" w14:paraId="6DCF3579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C0D22" w:rsidR="005C0D22" w:rsidP="005C0D22" w:rsidRDefault="005C0D22" w14:paraId="340762AA" w14:textId="43FC2468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5C0D22">
                  <w:rPr>
                    <w:sz w:val="19"/>
                    <w:szCs w:val="19"/>
                  </w:rPr>
                  <w:t>u</w:t>
                </w:r>
                <w:r w:rsidRPr="005C0D22">
                  <w:rPr>
                    <w:sz w:val="19"/>
                    <w:szCs w:val="19"/>
                  </w:rPr>
                  <w:t xml:space="preserve">tilising digital health pain management program effectively (for example Reboot, </w:t>
                </w:r>
                <w:proofErr w:type="spellStart"/>
                <w:r w:rsidRPr="005C0D22">
                  <w:rPr>
                    <w:sz w:val="19"/>
                    <w:szCs w:val="19"/>
                  </w:rPr>
                  <w:t>MindSpot</w:t>
                </w:r>
                <w:proofErr w:type="spellEnd"/>
                <w:r w:rsidRPr="005C0D22">
                  <w:rPr>
                    <w:sz w:val="19"/>
                    <w:szCs w:val="19"/>
                  </w:rPr>
                  <w:t>)</w:t>
                </w:r>
                <w:r w:rsidRPr="005C0D22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5C0D22" w:rsidP="00294B2A" w:rsidRDefault="005C0D22" w14:paraId="1A60D759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5C0D22" w:rsidP="00294B2A" w:rsidRDefault="005C0D22" w14:paraId="10321EAB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5C0D22" w:rsidTr="751B28B3" w14:paraId="00070835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C0D22" w:rsidR="005C0D22" w:rsidP="005C0D22" w:rsidRDefault="005C0D22" w14:paraId="41435B5E" w14:textId="6DEA32D7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</w:t>
                </w: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rovides documented processes for transfer and </w:t>
                </w:r>
                <w:r w:rsidRPr="005C0D22">
                  <w:rPr>
                    <w:rFonts w:ascii="Fira Sans" w:hAnsi="Fira Sans" w:eastAsiaTheme="minorHAnsi" w:cstheme="minorBidi"/>
                    <w:color w:val="3A3E3E" w:themeColor="background2" w:themeShade="40"/>
                    <w:kern w:val="21"/>
                    <w:sz w:val="19"/>
                    <w:szCs w:val="19"/>
                    <w14:numSpacing w14:val="proportional"/>
                  </w:rPr>
                  <w:t>referral to specialist pain management clinics</w:t>
                </w:r>
                <w:r w:rsidRPr="005C0D22">
                  <w:rPr>
                    <w:rFonts w:ascii="Fira Sans" w:hAnsi="Fira Sans"/>
                    <w:color w:val="3A3E3E" w:themeColor="background2" w:themeShade="40"/>
                    <w:kern w:val="21"/>
                    <w:sz w:val="19"/>
                    <w:szCs w:val="19"/>
                    <w14:numSpacing w14:val="proportional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5C0D22" w:rsidP="00294B2A" w:rsidRDefault="005C0D22" w14:paraId="5014FB17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5C0D22" w:rsidP="00294B2A" w:rsidRDefault="005C0D22" w14:paraId="4FF1884E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9E7E12" w:rsidTr="751B28B3" w14:paraId="4A6A8454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86A71" w:rsidR="009E7E12" w:rsidP="00286A71" w:rsidRDefault="009E7E12" w14:paraId="0DDF4BC5" w14:textId="531F19CA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Pr="00371A1D" w:rsidR="009E7E12" w:rsidTr="751B28B3" w14:paraId="2F6E347B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9E7E12" w:rsidP="003C1416" w:rsidRDefault="00E433B5" w14:paraId="18777E73" w14:textId="77777777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multidisciplinary teams such as:</w:t>
                </w:r>
              </w:p>
              <w:p w:rsidRPr="00BC525E" w:rsidR="00E433B5" w:rsidP="00E433B5" w:rsidRDefault="00E433B5" w14:paraId="5C992B4F" w14:textId="77777777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specialist Pain Medicine Physicians</w:t>
                </w:r>
              </w:p>
              <w:p w:rsidRPr="00BC525E" w:rsidR="00E433B5" w:rsidP="00E433B5" w:rsidRDefault="00E433B5" w14:paraId="388EE769" w14:textId="77777777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other relevant medical specialists including psychiatrists, neurosurgeons, rehabilitation physicians, rheumatologists, addiction specialists or access to these when they are not part of the team and when clinically appropriate</w:t>
                </w:r>
              </w:p>
              <w:p w:rsidRPr="00BC525E" w:rsidR="00E433B5" w:rsidP="00E433B5" w:rsidRDefault="00E433B5" w14:paraId="3A304354" w14:textId="70E4632F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general practitioners</w:t>
                </w:r>
              </w:p>
              <w:p w:rsidRPr="00BC525E" w:rsidR="00E433B5" w:rsidP="00E433B5" w:rsidRDefault="00E433B5" w14:paraId="0EA33739" w14:textId="3C19EF64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nurse/nurse practitioner</w:t>
                </w:r>
              </w:p>
              <w:p w:rsidRPr="00BC525E" w:rsidR="00E433B5" w:rsidP="00E433B5" w:rsidRDefault="00E433B5" w14:paraId="1934BE7E" w14:textId="2E21AC16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 xml:space="preserve">allied health professionals including physiotherapists, occupational therapists, psychologists, pharmacists, exercise physiologists, social workers, </w:t>
                </w:r>
                <w:proofErr w:type="gramStart"/>
                <w:r w:rsidRPr="00BC525E">
                  <w:rPr>
                    <w:rStyle w:val="ClearCharacter"/>
                    <w:sz w:val="19"/>
                    <w:szCs w:val="19"/>
                  </w:rPr>
                  <w:t>nutritionists</w:t>
                </w:r>
                <w:proofErr w:type="gramEnd"/>
                <w:r w:rsidRPr="00BC525E">
                  <w:rPr>
                    <w:rStyle w:val="ClearCharacter"/>
                    <w:sz w:val="19"/>
                    <w:szCs w:val="19"/>
                  </w:rPr>
                  <w:t xml:space="preserve"> and dieticians</w:t>
                </w:r>
              </w:p>
              <w:p w:rsidRPr="00BC525E" w:rsidR="00E433B5" w:rsidP="00E433B5" w:rsidRDefault="00E433B5" w14:paraId="65051C9E" w14:textId="1F493DFE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other relevant services.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9E7E12" w:rsidP="00E45740" w:rsidRDefault="009E7E12" w14:paraId="1027D08A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9E7E12" w:rsidP="00294B2A" w:rsidRDefault="009E7E12" w14:paraId="6277F7E7" w14:textId="10AB398D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F35279" w:rsidTr="751B28B3" w14:paraId="54BCDEF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F35279" w:rsidP="003C1416" w:rsidRDefault="00E433B5" w14:paraId="1A0C1DA0" w14:textId="1F551D14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 xml:space="preserve">clinicians demonstrate ongoing education and training in clinical programs relevant to the practice of pain management and </w:t>
                </w:r>
                <w:r w:rsidRPr="00BC525E">
                  <w:rPr>
                    <w:rStyle w:val="ClearCharacter"/>
                    <w:sz w:val="19"/>
                    <w:szCs w:val="19"/>
                  </w:rPr>
                  <w:lastRenderedPageBreak/>
                  <w:t>commensurate with their responsibilities in persistent pain management.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F35279" w:rsidP="00E45740" w:rsidRDefault="00F35279" w14:paraId="5DD9388C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F35279" w:rsidP="00F35279" w:rsidRDefault="00F35279" w14:paraId="715B4041" w14:textId="13CB8D3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9E7E12" w:rsidTr="751B28B3" w14:paraId="316B26A5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9E7E12" w:rsidP="003C1416" w:rsidRDefault="00E433B5" w14:paraId="31E02B2D" w14:textId="75F02902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supervision is required on a case-by-case basis if the clinician’s contract with specific groups of persistent pain patients, such as children, is intermittent of limited.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9E7E12" w:rsidP="00E45740" w:rsidRDefault="009E7E12" w14:paraId="7FE524AD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9E7E12" w:rsidP="00F35279" w:rsidRDefault="009E7E12" w14:paraId="14BCFE0E" w14:textId="02F583A0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BF32A8" w:rsidTr="751B28B3" w14:paraId="1DB063FF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BF32A8" w:rsidP="00BF32A8" w:rsidRDefault="00BF32A8" w14:paraId="6072583F" w14:textId="12E9C05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Pr="00371A1D" w:rsidR="005C0D22" w:rsidTr="751B28B3" w14:paraId="7CF21250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C0D22" w:rsidR="005C0D22" w:rsidP="005C0D22" w:rsidRDefault="005C0D22" w14:paraId="3A95A897" w14:textId="57DE1928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C0D22">
                  <w:rPr>
                    <w:szCs w:val="19"/>
                  </w:rPr>
                  <w:t xml:space="preserve">Registered medical practitioner with a special interest in pain (may have completed further pain education </w:t>
                </w:r>
                <w:proofErr w:type="gramStart"/>
                <w:r w:rsidRPr="005C0D22">
                  <w:rPr>
                    <w:szCs w:val="19"/>
                  </w:rPr>
                  <w:t>e.g.</w:t>
                </w:r>
                <w:proofErr w:type="gramEnd"/>
                <w:r w:rsidRPr="005C0D22">
                  <w:rPr>
                    <w:szCs w:val="19"/>
                  </w:rPr>
                  <w:t xml:space="preserve"> FPM Better Pain Management course)</w:t>
                </w:r>
                <w:r w:rsidRPr="005C0D22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5C0D22" w:rsidP="00A80E9C" w:rsidRDefault="005C0D22" w14:paraId="1A717ECD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5C0D22" w:rsidP="00A80E9C" w:rsidRDefault="005C0D22" w14:paraId="0F1A3F10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371A1D" w:rsidR="00A80E9C" w:rsidTr="751B28B3" w14:paraId="6B49266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C0D22" w:rsidR="00A80E9C" w:rsidP="005C0D22" w:rsidRDefault="005C0D22" w14:paraId="12F8F1D3" w14:textId="5219FFC6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C0D22">
                  <w:rPr>
                    <w:szCs w:val="19"/>
                  </w:rPr>
                  <w:t>access to pain specialist from a higher centre</w:t>
                </w:r>
                <w:r w:rsidRPr="005C0D22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80E9C" w:rsidP="00A80E9C" w:rsidRDefault="00A80E9C" w14:paraId="7361EA5D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A80E9C" w:rsidP="00A80E9C" w:rsidRDefault="00A80E9C" w14:paraId="0E68F344" w14:textId="4AFD0A6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371A1D" w:rsidR="00A80E9C" w:rsidTr="751B28B3" w14:paraId="627772FB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A80E9C" w:rsidP="00A80E9C" w:rsidRDefault="00A80E9C" w14:paraId="09036647" w14:textId="00B1E75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Pr="00371A1D" w:rsidR="00A80E9C" w:rsidTr="751B28B3" w14:paraId="6CE96938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C0D22" w:rsidR="00A80E9C" w:rsidP="005C0D22" w:rsidRDefault="005C0D22" w14:paraId="1F0D3B8E" w14:textId="27DFD367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C0D22">
                  <w:rPr>
                    <w:szCs w:val="19"/>
                  </w:rPr>
                  <w:t xml:space="preserve">access to registered nurse with knowledge, </w:t>
                </w:r>
                <w:proofErr w:type="gramStart"/>
                <w:r w:rsidRPr="005C0D22">
                  <w:rPr>
                    <w:szCs w:val="19"/>
                  </w:rPr>
                  <w:t>skills</w:t>
                </w:r>
                <w:proofErr w:type="gramEnd"/>
                <w:r w:rsidRPr="005C0D22">
                  <w:rPr>
                    <w:szCs w:val="19"/>
                  </w:rPr>
                  <w:t xml:space="preserve"> and experience in persistent pain management (including access by telehealth)</w:t>
                </w:r>
                <w:r w:rsidRPr="005C0D22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80E9C" w:rsidP="00A80E9C" w:rsidRDefault="00A80E9C" w14:paraId="59B273CD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A80E9C" w:rsidP="00A80E9C" w:rsidRDefault="00A80E9C" w14:paraId="2E1168AC" w14:textId="407E256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  <w:r w:rsidRPr="00BF32A8"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 Please provide a 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 w:rsidR="00E433B5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Pr="00371A1D" w:rsidR="006C57D9" w:rsidTr="751B28B3" w14:paraId="49261830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6C57D9" w:rsidP="00A80E9C" w:rsidRDefault="00BC525E" w14:paraId="427622E9" w14:textId="448541BF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Pr="00371A1D" w:rsidR="006C57D9" w:rsidTr="751B28B3" w14:paraId="2F706AF0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C0D22" w:rsidR="006C57D9" w:rsidP="005C0D22" w:rsidRDefault="005C0D22" w14:paraId="557AD795" w14:textId="14E66328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C0D22">
                  <w:rPr>
                    <w:szCs w:val="19"/>
                  </w:rPr>
                  <w:t xml:space="preserve">access to physiotherapist, occupational therapist and psychology staff who possess, or can access directly or through telehealth, professionals with knowledge, </w:t>
                </w:r>
                <w:proofErr w:type="gramStart"/>
                <w:r w:rsidRPr="005C0D22">
                  <w:rPr>
                    <w:szCs w:val="19"/>
                  </w:rPr>
                  <w:t>skills</w:t>
                </w:r>
                <w:proofErr w:type="gramEnd"/>
                <w:r w:rsidRPr="005C0D22">
                  <w:rPr>
                    <w:szCs w:val="19"/>
                  </w:rPr>
                  <w:t xml:space="preserve"> and experience in persistent pain management</w:t>
                </w:r>
                <w:r w:rsidRPr="005C0D22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6C57D9" w:rsidP="00A80E9C" w:rsidRDefault="006C57D9" w14:paraId="64AD496A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6C57D9" w:rsidP="00A80E9C" w:rsidRDefault="006C57D9" w14:paraId="66E662FD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6C57D9" w:rsidTr="751B28B3" w14:paraId="375D2964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6C57D9" w:rsidP="00E433B5" w:rsidRDefault="00E433B5" w14:paraId="06C349AA" w14:textId="61560AD7">
                <w:pPr>
                  <w:pStyle w:val="BulletList2Column"/>
                  <w:numPr>
                    <w:ilvl w:val="0"/>
                    <w:numId w:val="23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BC525E">
                  <w:rPr>
                    <w:szCs w:val="19"/>
                  </w:rPr>
                  <w:t>access to Aboriginal and Torres Strait Islander health workers where appropriate.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6C57D9" w:rsidP="00A80E9C" w:rsidRDefault="006C57D9" w14:paraId="0CEDB562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6C57D9" w:rsidP="00A80E9C" w:rsidRDefault="006C57D9" w14:paraId="1654340A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BC525E" w:rsidTr="751B28B3" w14:paraId="2A6DB698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BC525E" w:rsidP="00A80E9C" w:rsidRDefault="00BC525E" w14:paraId="25DD00A0" w14:textId="1EAC4F7B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Pr="00371A1D" w:rsidR="005C0D22" w:rsidTr="751B28B3" w14:paraId="0DA820F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5C0D22" w:rsidR="005C0D22" w:rsidP="005C0D22" w:rsidRDefault="005C0D22" w14:paraId="0E02ECFA" w14:textId="10B3E54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C0D22">
                  <w:rPr>
                    <w:szCs w:val="19"/>
                  </w:rPr>
                  <w:t>has access to specialist paediatric service on site or remotely in partnership with a higher-level paediatric service if required</w:t>
                </w:r>
                <w:r w:rsidRPr="005C0D22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5C0D22" w:rsidP="00A80E9C" w:rsidRDefault="005C0D22" w14:paraId="2149E8C5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5C0D22" w:rsidP="00A80E9C" w:rsidRDefault="005C0D22" w14:paraId="2B739F04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BC525E" w:rsidTr="751B28B3" w14:paraId="7177900C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BC525E" w:rsidP="006C57D9" w:rsidRDefault="00BC525E" w14:paraId="42FD25AA" w14:textId="29724CDF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links to peer support groups locally and educational information for persistent pain (ACI pain management website and APMA).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BC525E" w:rsidP="00A80E9C" w:rsidRDefault="00BC525E" w14:paraId="049AC1D4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BC525E" w:rsidP="00A80E9C" w:rsidRDefault="00BC525E" w14:paraId="400A980A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A80E9C" w:rsidTr="751B28B3" w14:paraId="5C535569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A80E9C" w:rsidP="00A80E9C" w:rsidRDefault="00A80E9C" w14:paraId="25F8FECA" w14:textId="54C4969D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Pr="00371A1D" w:rsidR="00A80E9C" w:rsidTr="751B28B3" w14:paraId="2DFA283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705D8C" w:rsidR="00A80E9C" w:rsidP="00A80E9C" w:rsidRDefault="00A80E9C" w14:paraId="02B8DA3A" w14:textId="45E14A24">
                <w:pPr>
                  <w:pStyle w:val="ListParagraph"/>
                  <w:numPr>
                    <w:ilvl w:val="0"/>
                    <w:numId w:val="23"/>
                  </w:numPr>
                  <w:spacing w:before="40" w:after="40"/>
                  <w:rPr>
                    <w:rStyle w:val="ClearCharacter"/>
                    <w:sz w:val="19"/>
                    <w:szCs w:val="19"/>
                  </w:rPr>
                </w:pPr>
                <w:r>
                  <w:rPr>
                    <w:rStyle w:val="ClearCharacter"/>
                    <w:sz w:val="19"/>
                    <w:szCs w:val="19"/>
                  </w:rPr>
                  <w:t>n</w:t>
                </w:r>
                <w:r w:rsidRPr="00705D8C">
                  <w:rPr>
                    <w:rStyle w:val="ClearCharacter"/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80E9C" w:rsidP="00A80E9C" w:rsidRDefault="00A80E9C" w14:paraId="08988B4F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A80E9C" w:rsidP="00A80E9C" w:rsidRDefault="00A80E9C" w14:paraId="5F251DEE" w14:textId="77777777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BF32A8" w:rsidR="00A80E9C" w:rsidTr="751B28B3" w14:paraId="1E585E30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8109D" w:rsidR="00A80E9C" w:rsidP="00A80E9C" w:rsidRDefault="00A80E9C" w14:paraId="1F6C71D9" w14:textId="39E07A46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Pr="00BF32A8" w:rsidR="00A80E9C" w:rsidTr="751B28B3" w14:paraId="3201766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16BA" w:rsidR="00A80E9C" w:rsidP="00A80E9C" w:rsidRDefault="00A80E9C" w14:paraId="75F46F0A" w14:textId="77777777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:rsidRPr="006C57D9" w:rsidR="00A80E9C" w:rsidP="006C57D9" w:rsidRDefault="006C57D9" w14:paraId="3E097B00" w14:textId="2689461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 </w:t>
                </w:r>
                <w:r w:rsidR="00BC525E"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80E9C" w:rsidP="00A80E9C" w:rsidRDefault="00A80E9C" w14:paraId="0CC080D3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A80E9C" w:rsidP="00A80E9C" w:rsidRDefault="00A80E9C" w14:paraId="501ADF9D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BF32A8" w:rsidR="00C27F4E" w:rsidTr="751B28B3" w14:paraId="1BF683AA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16BA" w:rsidR="00C27F4E" w:rsidP="00C27F4E" w:rsidRDefault="00C27F4E" w14:paraId="6D3BD265" w14:textId="170E4864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:rsidR="00BC525E" w:rsidP="00BC525E" w:rsidRDefault="00BC525E" w14:paraId="45D0FE80" w14:textId="77777777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4816BA">
                  <w:rPr>
                    <w:sz w:val="19"/>
                    <w:szCs w:val="19"/>
                  </w:rPr>
                  <w:t xml:space="preserve"> – </w:t>
                </w:r>
                <w:r>
                  <w:rPr>
                    <w:sz w:val="19"/>
                    <w:szCs w:val="19"/>
                  </w:rPr>
                  <w:t>Medical imaging</w:t>
                </w:r>
              </w:p>
              <w:p w:rsidR="00BC525E" w:rsidP="00BC525E" w:rsidRDefault="00BC525E" w14:paraId="7DC05FB8" w14:textId="77777777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lastRenderedPageBreak/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4816BA">
                  <w:rPr>
                    <w:sz w:val="19"/>
                    <w:szCs w:val="19"/>
                  </w:rPr>
                  <w:t xml:space="preserve"> – Medication</w:t>
                </w:r>
              </w:p>
              <w:p w:rsidR="005C0D22" w:rsidP="005C0D22" w:rsidRDefault="00BC525E" w14:paraId="21A8D615" w14:textId="77777777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2 - Pathology</w:t>
                </w:r>
                <w:r w:rsidR="005C0D22">
                  <w:rPr>
                    <w:sz w:val="19"/>
                    <w:szCs w:val="19"/>
                  </w:rPr>
                  <w:t xml:space="preserve"> </w:t>
                </w:r>
              </w:p>
              <w:p w:rsidRPr="005C0D22" w:rsidR="00C27F4E" w:rsidP="005C0D22" w:rsidRDefault="005C0D22" w14:paraId="4D64AE75" w14:textId="2F3BECA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3</w:t>
                </w:r>
                <w:r>
                  <w:rPr>
                    <w:sz w:val="19"/>
                    <w:szCs w:val="19"/>
                  </w:rPr>
                  <w:t xml:space="preserve"> – </w:t>
                </w:r>
                <w:r w:rsidRPr="005C0D22">
                  <w:rPr>
                    <w:sz w:val="19"/>
                    <w:szCs w:val="19"/>
                  </w:rPr>
                  <w:t>Medical</w:t>
                </w:r>
                <w:r w:rsidRPr="005C0D22">
                  <w:rPr>
                    <w:sz w:val="19"/>
                    <w:szCs w:val="19"/>
                  </w:rPr>
                  <w:t xml:space="preserve"> – Children’s*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C27F4E" w:rsidP="00A80E9C" w:rsidRDefault="00C27F4E" w14:paraId="2A85A7A1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C27F4E" w:rsidP="00A80E9C" w:rsidRDefault="00C27F4E" w14:paraId="647C9F42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:rsidRPr="005C0D22" w:rsidR="0015140A" w:rsidP="005C0D22" w:rsidRDefault="005C0D22" w14:paraId="1C73764F" w14:textId="2427CB4B">
          <w:pPr>
            <w:pStyle w:val="ListBullet"/>
            <w:numPr>
              <w:ilvl w:val="0"/>
              <w:numId w:val="0"/>
            </w:numPr>
            <w:rPr>
              <w:sz w:val="19"/>
              <w:szCs w:val="19"/>
            </w:rPr>
          </w:pPr>
          <w:r w:rsidRPr="005C0D22">
            <w:rPr>
              <w:sz w:val="19"/>
              <w:szCs w:val="19"/>
            </w:rPr>
            <w:t>*if providing children’s services</w:t>
          </w:r>
        </w:p>
        <w:p w:rsidRPr="00371A1D" w:rsidR="0084460D" w:rsidRDefault="005C0D22" w14:paraId="59B9DC26" w14:textId="431E5127"/>
      </w:sdtContent>
    </w:sdt>
    <w:bookmarkEnd w:displacedByCustomXml="next" w:id="0"/>
    <w:sectPr w:rsidRPr="00371A1D" w:rsidR="0084460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orient="portrait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460D" w:rsidP="005655C9" w:rsidRDefault="0084460D" w14:paraId="0D83383C" w14:textId="77777777">
      <w:pPr>
        <w:spacing w:line="240" w:lineRule="auto"/>
      </w:pPr>
      <w:r>
        <w:separator/>
      </w:r>
    </w:p>
    <w:p w:rsidR="0084460D" w:rsidRDefault="0084460D" w14:paraId="7E1120DF" w14:textId="77777777"/>
    <w:p w:rsidR="0084460D" w:rsidP="00952B5B" w:rsidRDefault="0084460D" w14:paraId="72270B5C" w14:textId="77777777"/>
    <w:p w:rsidR="0084460D" w:rsidP="00952B5B" w:rsidRDefault="0084460D" w14:paraId="5EEBCE78" w14:textId="77777777"/>
    <w:p w:rsidR="0084460D" w:rsidRDefault="0084460D" w14:paraId="175CA9CA" w14:textId="77777777"/>
    <w:p w:rsidR="0084460D" w:rsidRDefault="0084460D" w14:paraId="58EA55D7" w14:textId="77777777"/>
    <w:p w:rsidR="0084460D" w:rsidRDefault="0084460D" w14:paraId="30EC006F" w14:textId="77777777"/>
    <w:p w:rsidR="0084460D" w:rsidRDefault="0084460D" w14:paraId="68D9684E" w14:textId="77777777"/>
  </w:endnote>
  <w:endnote w:type="continuationSeparator" w:id="0">
    <w:p w:rsidR="0084460D" w:rsidP="005655C9" w:rsidRDefault="0084460D" w14:paraId="07B46ED4" w14:textId="77777777">
      <w:pPr>
        <w:spacing w:line="240" w:lineRule="auto"/>
      </w:pPr>
      <w:r>
        <w:continuationSeparator/>
      </w:r>
    </w:p>
    <w:p w:rsidR="0084460D" w:rsidRDefault="0084460D" w14:paraId="300C72B0" w14:textId="77777777"/>
    <w:p w:rsidR="0084460D" w:rsidP="00952B5B" w:rsidRDefault="0084460D" w14:paraId="6898A233" w14:textId="77777777"/>
    <w:p w:rsidR="0084460D" w:rsidP="00952B5B" w:rsidRDefault="0084460D" w14:paraId="42937DAE" w14:textId="77777777"/>
    <w:p w:rsidR="0084460D" w:rsidRDefault="0084460D" w14:paraId="2F495F6B" w14:textId="77777777"/>
    <w:p w:rsidR="0084460D" w:rsidRDefault="0084460D" w14:paraId="2CDE523B" w14:textId="77777777"/>
    <w:p w:rsidR="0084460D" w:rsidRDefault="0084460D" w14:paraId="68056A69" w14:textId="77777777"/>
    <w:p w:rsidR="0084460D" w:rsidRDefault="0084460D" w14:paraId="32D03B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573D" w:rsidRDefault="004A573D" w14:paraId="773C51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3033" w:rsidP="00EB0EA5" w:rsidRDefault="005C0D22" w14:paraId="5CEC7938" w14:textId="48B43210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alignment="right" w:relativeTo="margin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57ADC" w:rsidP="00757ADC" w:rsidRDefault="00757ADC" w14:paraId="6BD13A4E" w14:textId="62A437AD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Pr="00DB3896" w:rsidR="0084460D" w:rsidP="00DB3896" w:rsidRDefault="0084460D" w14:paraId="28722416" w14:textId="77777777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:rsidR="0084460D" w:rsidRDefault="0084460D" w14:paraId="3DDF2DC5" w14:textId="77777777"/>
    <w:p w:rsidR="0084460D" w:rsidRDefault="0084460D" w14:paraId="35EBA6E0" w14:textId="77777777"/>
    <w:p w:rsidR="0084460D" w:rsidRDefault="0084460D" w14:paraId="2C6D9DB8" w14:textId="77777777"/>
  </w:footnote>
  <w:footnote w:type="continuationSeparator" w:id="0">
    <w:p w:rsidR="0084460D" w:rsidP="005655C9" w:rsidRDefault="0084460D" w14:paraId="65CFC62F" w14:textId="77777777">
      <w:pPr>
        <w:spacing w:line="240" w:lineRule="auto"/>
      </w:pPr>
      <w:r>
        <w:continuationSeparator/>
      </w:r>
    </w:p>
    <w:p w:rsidR="0084460D" w:rsidRDefault="0084460D" w14:paraId="6EF2D742" w14:textId="77777777"/>
    <w:p w:rsidR="0084460D" w:rsidP="00952B5B" w:rsidRDefault="0084460D" w14:paraId="7538E52D" w14:textId="77777777"/>
    <w:p w:rsidR="0084460D" w:rsidP="00952B5B" w:rsidRDefault="0084460D" w14:paraId="22BCE643" w14:textId="77777777"/>
    <w:p w:rsidR="0084460D" w:rsidRDefault="0084460D" w14:paraId="43DA5602" w14:textId="77777777"/>
    <w:p w:rsidR="0084460D" w:rsidRDefault="0084460D" w14:paraId="2A225103" w14:textId="77777777"/>
    <w:p w:rsidR="0084460D" w:rsidRDefault="0084460D" w14:paraId="018AA21B" w14:textId="77777777"/>
    <w:p w:rsidR="0084460D" w:rsidRDefault="0084460D" w14:paraId="3E799A4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573D" w:rsidRDefault="005C0D22" w14:paraId="11553B5D" w14:textId="5BE80483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style="position:absolute;margin-left:0;margin-top:0;width:588.65pt;height:130.8pt;rotation:315;z-index:-251645952;mso-position-horizontal:center;mso-position-horizontal-relative:margin;mso-position-vertical:center;mso-position-vertical-relative:margin" o:spid="_x0000_s6146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9023A" w:rsidRDefault="005C0D22" w14:paraId="2336D659" w14:textId="3EA823F7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style="position:absolute;margin-left:0;margin-top:0;width:588.65pt;height:130.8pt;rotation:315;z-index:-251643904;mso-position-horizontal:center;mso-position-horizontal-relative:margin;mso-position-vertical:center;mso-position-vertical-relative:margin" o:spid="_x0000_s6147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23A" w:rsidRDefault="0019023A" w14:paraId="09C9D2E7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573D" w:rsidRDefault="005C0D22" w14:paraId="427C0F6D" w14:textId="7FA0F897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style="position:absolute;margin-left:0;margin-top:0;width:588.65pt;height:130.8pt;rotation:315;z-index:-251648000;mso-position-horizontal:center;mso-position-horizontal-relative:margin;mso-position-vertical:center;mso-position-vertical-relative:margin" o:spid="_x0000_s6145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FFFFFF83"/>
    <w:multiLevelType w:val="singleLevel"/>
    <w:tmpl w:val="531A9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3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6B634D7"/>
    <w:multiLevelType w:val="hybridMultilevel"/>
    <w:tmpl w:val="2254607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4013AE"/>
    <w:multiLevelType w:val="hybridMultilevel"/>
    <w:tmpl w:val="C12C2C1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auto"/>
      </w:rPr>
    </w:lvl>
  </w:abstractNum>
  <w:abstractNum w:abstractNumId="12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012CB2"/>
    <w:multiLevelType w:val="hybridMultilevel"/>
    <w:tmpl w:val="E1D6658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D2C2B95"/>
    <w:multiLevelType w:val="hybridMultilevel"/>
    <w:tmpl w:val="371A34A0"/>
    <w:lvl w:ilvl="0" w:tplc="34B0B7E2">
      <w:start w:val="1"/>
      <w:numFmt w:val="bullet"/>
      <w:lvlText w:val="­"/>
      <w:lvlJc w:val="left"/>
      <w:pPr>
        <w:ind w:left="108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81F40A6"/>
    <w:multiLevelType w:val="hybridMultilevel"/>
    <w:tmpl w:val="94CA88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831BB6"/>
    <w:multiLevelType w:val="hybridMultilevel"/>
    <w:tmpl w:val="F194711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6F579D"/>
    <w:multiLevelType w:val="hybridMultilevel"/>
    <w:tmpl w:val="26F4D18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41477F4"/>
    <w:multiLevelType w:val="hybridMultilevel"/>
    <w:tmpl w:val="5CEAD976"/>
    <w:lvl w:ilvl="0" w:tplc="DA0A3748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AE57BE"/>
    <w:multiLevelType w:val="hybridMultilevel"/>
    <w:tmpl w:val="93582AA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auto"/>
      </w:rPr>
    </w:lvl>
  </w:abstractNum>
  <w:abstractNum w:abstractNumId="25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CDE173A"/>
    <w:multiLevelType w:val="hybridMultilevel"/>
    <w:tmpl w:val="F23CA894"/>
    <w:lvl w:ilvl="0" w:tplc="DC52E8A8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sz w:val="20"/>
      </w:rPr>
    </w:lvl>
    <w:lvl w:ilvl="1" w:tplc="E5DCED0A">
      <w:numFmt w:val="bullet"/>
      <w:lvlText w:val="−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E4331B3"/>
    <w:multiLevelType w:val="hybridMultilevel"/>
    <w:tmpl w:val="340610B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9" w15:restartNumberingAfterBreak="0">
    <w:nsid w:val="52E9704B"/>
    <w:multiLevelType w:val="hybridMultilevel"/>
    <w:tmpl w:val="CEEA85D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86D2755"/>
    <w:multiLevelType w:val="hybridMultilevel"/>
    <w:tmpl w:val="353CB80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980FCC"/>
    <w:multiLevelType w:val="hybridMultilevel"/>
    <w:tmpl w:val="744E464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BF92073"/>
    <w:multiLevelType w:val="hybridMultilevel"/>
    <w:tmpl w:val="21DC5118"/>
    <w:lvl w:ilvl="0" w:tplc="C526CA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hint="default" w:ascii="Courier New" w:hAnsi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hint="default" w:ascii="Courier" w:hAnsi="Courier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hint="default" w:ascii="Wingdings" w:hAnsi="Wingdings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8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6B6C4BBE"/>
    <w:multiLevelType w:val="hybridMultilevel"/>
    <w:tmpl w:val="EA2E9F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016FA6"/>
    <w:multiLevelType w:val="hybridMultilevel"/>
    <w:tmpl w:val="14401A9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6E28314B"/>
    <w:multiLevelType w:val="hybridMultilevel"/>
    <w:tmpl w:val="9288D85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1AF1777"/>
    <w:multiLevelType w:val="hybridMultilevel"/>
    <w:tmpl w:val="E75A1C8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7D8E03AA"/>
    <w:multiLevelType w:val="hybridMultilevel"/>
    <w:tmpl w:val="BB2C24B4"/>
    <w:lvl w:ilvl="0" w:tplc="DA0A3748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2"/>
  </w:num>
  <w:num w:numId="5">
    <w:abstractNumId w:val="28"/>
  </w:num>
  <w:num w:numId="6">
    <w:abstractNumId w:val="24"/>
  </w:num>
  <w:num w:numId="7">
    <w:abstractNumId w:val="7"/>
  </w:num>
  <w:num w:numId="8">
    <w:abstractNumId w:val="3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5"/>
  </w:num>
  <w:num w:numId="11">
    <w:abstractNumId w:val="34"/>
  </w:num>
  <w:num w:numId="12">
    <w:abstractNumId w:val="36"/>
  </w:num>
  <w:num w:numId="13">
    <w:abstractNumId w:val="25"/>
  </w:num>
  <w:num w:numId="14">
    <w:abstractNumId w:val="10"/>
  </w:num>
  <w:num w:numId="15">
    <w:abstractNumId w:val="39"/>
  </w:num>
  <w:num w:numId="16">
    <w:abstractNumId w:val="35"/>
  </w:num>
  <w:num w:numId="17">
    <w:abstractNumId w:val="3"/>
  </w:num>
  <w:num w:numId="18">
    <w:abstractNumId w:val="1"/>
  </w:num>
  <w:num w:numId="19">
    <w:abstractNumId w:val="38"/>
  </w:num>
  <w:num w:numId="20">
    <w:abstractNumId w:val="31"/>
  </w:num>
  <w:num w:numId="21">
    <w:abstractNumId w:val="32"/>
  </w:num>
  <w:num w:numId="22">
    <w:abstractNumId w:val="6"/>
  </w:num>
  <w:num w:numId="23">
    <w:abstractNumId w:val="16"/>
  </w:num>
  <w:num w:numId="24">
    <w:abstractNumId w:val="41"/>
  </w:num>
  <w:num w:numId="25">
    <w:abstractNumId w:val="9"/>
  </w:num>
  <w:num w:numId="26">
    <w:abstractNumId w:val="14"/>
  </w:num>
  <w:num w:numId="27">
    <w:abstractNumId w:val="4"/>
  </w:num>
  <w:num w:numId="28">
    <w:abstractNumId w:val="45"/>
  </w:num>
  <w:num w:numId="29">
    <w:abstractNumId w:val="8"/>
  </w:num>
  <w:num w:numId="30">
    <w:abstractNumId w:val="17"/>
  </w:num>
  <w:num w:numId="31">
    <w:abstractNumId w:val="22"/>
  </w:num>
  <w:num w:numId="32">
    <w:abstractNumId w:val="44"/>
  </w:num>
  <w:num w:numId="33">
    <w:abstractNumId w:val="27"/>
  </w:num>
  <w:num w:numId="34">
    <w:abstractNumId w:val="33"/>
  </w:num>
  <w:num w:numId="35">
    <w:abstractNumId w:val="43"/>
  </w:num>
  <w:num w:numId="36">
    <w:abstractNumId w:val="19"/>
  </w:num>
  <w:num w:numId="37">
    <w:abstractNumId w:val="40"/>
  </w:num>
  <w:num w:numId="38">
    <w:abstractNumId w:val="13"/>
  </w:num>
  <w:num w:numId="39">
    <w:abstractNumId w:val="15"/>
  </w:num>
  <w:num w:numId="40">
    <w:abstractNumId w:val="2"/>
  </w:num>
  <w:num w:numId="41">
    <w:abstractNumId w:val="26"/>
  </w:num>
  <w:num w:numId="42">
    <w:abstractNumId w:val="42"/>
  </w:num>
  <w:num w:numId="43">
    <w:abstractNumId w:val="30"/>
  </w:num>
  <w:num w:numId="44">
    <w:abstractNumId w:val="21"/>
  </w:num>
  <w:num w:numId="45">
    <w:abstractNumId w:val="29"/>
  </w:num>
  <w:num w:numId="46">
    <w:abstractNumId w:val="18"/>
  </w:num>
  <w:num w:numId="47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lang="en-NZ" w:vendorID="64" w:dllVersion="0" w:nlCheck="1" w:checkStyle="0" w:appName="MSWord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false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1245D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0D22"/>
    <w:rsid w:val="005C4771"/>
    <w:rsid w:val="005C545A"/>
    <w:rsid w:val="005C5D2A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F0A87"/>
    <w:rsid w:val="006F77E7"/>
    <w:rsid w:val="0070558B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51104"/>
    <w:rsid w:val="00A5412A"/>
    <w:rsid w:val="00A54C34"/>
    <w:rsid w:val="00A6010B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77A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F1DD0"/>
    <w:rsid w:val="00EF3ABA"/>
    <w:rsid w:val="00EF3C10"/>
    <w:rsid w:val="00EF3E95"/>
    <w:rsid w:val="00EF3EC6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00A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  <w:rsid w:val="751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hAnsi="Fira Sans" w:eastAsiaTheme="minorHAnsi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12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2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uiPriority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uiPriority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semiHidden="1"/>
    <w:lsdException w:name="Intense Emphasis" w:uiPriority="6" w:qFormat="1"/>
    <w:lsdException w:name="Subtle Reference" w:uiPriority="31" w:semiHidden="1"/>
    <w:lsdException w:name="Intense Reference" w:semiHidden="1"/>
    <w:lsdException w:name="Book Title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hAnsi="Fira Sans SemiBold" w:eastAsiaTheme="majorEastAsia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styleId="FooterChar" w:customStyle="1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hAnsi="Fira Sans SemiBold" w:eastAsiaTheme="majorEastAsia" w:cstheme="majorBidi"/>
      <w:b/>
      <w:color w:val="183C5D" w:themeColor="text2"/>
      <w:spacing w:val="16"/>
      <w:kern w:val="68"/>
      <w:sz w:val="68"/>
      <w:szCs w:val="72"/>
    </w:rPr>
  </w:style>
  <w:style w:type="character" w:styleId="TitleChar" w:customStyle="1">
    <w:name w:val="Title Char"/>
    <w:aliases w:val="Cover Page Title Char"/>
    <w:basedOn w:val="DefaultParagraphFont"/>
    <w:link w:val="Title"/>
    <w:uiPriority w:val="10"/>
    <w:rsid w:val="00B17E98"/>
    <w:rPr>
      <w:rFonts w:ascii="Fira Sans SemiBold" w:hAnsi="Fira Sans SemiBold" w:eastAsiaTheme="majorEastAsia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styleId="ImprintPageText" w:customStyle="1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styleId="Bold" w:customStyle="1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styleId="SubtitleChar" w:customStyle="1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styleId="Heading1Char" w:customStyle="1">
    <w:name w:val="Heading 1 Char"/>
    <w:basedOn w:val="DefaultParagraphFont"/>
    <w:link w:val="Heading1"/>
    <w:uiPriority w:val="9"/>
    <w:rsid w:val="00FB0A93"/>
    <w:rPr>
      <w:rFonts w:ascii="Fira Sans SemiBold" w:hAnsi="Fira Sans SemiBold" w:eastAsiaTheme="majorEastAsia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color="BFBFBF" w:themeColor="background1" w:themeShade="BF" w:sz="4" w:space="3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hAnsi="Fira Sans SemiBold" w:eastAsiaTheme="minorEastAsia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styleId="Heading4Char" w:customStyle="1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color="0F5CA2" w:themeColor="accent1" w:sz="2" w:space="10" w:shadow="1" w:frame="1"/>
        <w:left w:val="single" w:color="0F5CA2" w:themeColor="accent1" w:sz="2" w:space="10" w:shadow="1" w:frame="1"/>
        <w:bottom w:val="single" w:color="0F5CA2" w:themeColor="accent1" w:sz="2" w:space="10" w:shadow="1" w:frame="1"/>
        <w:right w:val="single" w:color="0F5CA2" w:themeColor="accent1" w:sz="2" w:space="10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styleId="BodyTextChar" w:customStyle="1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styleId="NoSpacingChar" w:customStyle="1">
    <w:name w:val="No Spacing Char"/>
    <w:basedOn w:val="DefaultParagraphFont"/>
    <w:link w:val="NoSpacing"/>
    <w:uiPriority w:val="99"/>
    <w:semiHidden/>
    <w:rsid w:val="008D7AC0"/>
  </w:style>
  <w:style w:type="paragraph" w:styleId="IntroParagraph" w:customStyle="1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styleId="IntroParagraphChar" w:customStyle="1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styleId="Heading5Char" w:customStyle="1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styleId="Heading6Char" w:customStyle="1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645F45"/>
    <w:rPr>
      <w:rFonts w:asciiTheme="majorHAnsi" w:hAnsiTheme="majorHAnsi" w:eastAsiaTheme="majorEastAsia" w:cstheme="majorBidi"/>
      <w:color w:val="272727" w:themeColor="text1" w:themeTint="D8"/>
      <w:lang w:val="en-US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645F45"/>
    <w:rPr>
      <w:rFonts w:asciiTheme="majorHAnsi" w:hAnsiTheme="majorHAnsi" w:eastAsiaTheme="majorEastAsia" w:cstheme="majorBidi"/>
      <w:i/>
      <w:iCs/>
      <w:color w:val="272727" w:themeColor="text1" w:themeTint="D8"/>
      <w:lang w:val="en-US"/>
    </w:rPr>
  </w:style>
  <w:style w:type="paragraph" w:styleId="NumberedHeading1" w:customStyle="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styleId="NumberedHeading1Char" w:customStyle="1">
    <w:name w:val="Numbered Heading 1 Char"/>
    <w:basedOn w:val="Heading1Char"/>
    <w:link w:val="NumberedHeading1"/>
    <w:uiPriority w:val="13"/>
    <w:rsid w:val="009E5C21"/>
    <w:rPr>
      <w:rFonts w:ascii="Fira Sans SemiBold" w:hAnsi="Fira Sans SemiBold" w:eastAsiaTheme="majorEastAsia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NumberedHeading2" w:customStyle="1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styleId="NumberedHeading3" w:customStyle="1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styleId="NumberedHeading4" w:customStyle="1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styleId="NumberedHeading5" w:customStyle="1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styleId="NumberedHeading6" w:customStyle="1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color="0F5CA2" w:themeColor="accent1" w:sz="4" w:space="10"/>
        <w:bottom w:val="single" w:color="0F5CA2" w:themeColor="accent1" w:sz="4" w:space="10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styleId="IntenseQuoteChar" w:customStyle="1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styleId="Callout" w:customStyle="1">
    <w:name w:val="Callout"/>
    <w:basedOn w:val="IntenseQuote"/>
    <w:next w:val="BodyText"/>
    <w:link w:val="CalloutChar"/>
    <w:uiPriority w:val="30"/>
    <w:qFormat/>
    <w:rsid w:val="008D7AC0"/>
    <w:pPr>
      <w:pBdr>
        <w:top w:val="single" w:color="F4F9EA" w:themeColor="accent5" w:themeTint="33" w:sz="4" w:space="19"/>
        <w:left w:val="single" w:color="F4F9EA" w:themeColor="accent5" w:themeTint="33" w:sz="4" w:space="25"/>
        <w:bottom w:val="single" w:color="F4F9EA" w:themeColor="accent5" w:themeTint="33" w:sz="4" w:space="19"/>
        <w:right w:val="single" w:color="F4F9EA" w:themeColor="accent5" w:themeTint="33" w:sz="4" w:space="25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color="479EEE" w:themeColor="accent1" w:themeTint="99" w:sz="4" w:space="0"/>
        <w:left w:val="single" w:color="479EEE" w:themeColor="accent1" w:themeTint="99" w:sz="4" w:space="0"/>
        <w:bottom w:val="single" w:color="479EEE" w:themeColor="accent1" w:themeTint="99" w:sz="4" w:space="0"/>
        <w:right w:val="single" w:color="479EEE" w:themeColor="accent1" w:themeTint="99" w:sz="4" w:space="0"/>
        <w:insideH w:val="single" w:color="479EEE" w:themeColor="accent1" w:themeTint="99" w:sz="4" w:space="0"/>
        <w:insideV w:val="single" w:color="479EEE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5CA2" w:themeColor="accent1" w:sz="4" w:space="0"/>
          <w:left w:val="single" w:color="0F5CA2" w:themeColor="accent1" w:sz="4" w:space="0"/>
          <w:bottom w:val="single" w:color="0F5CA2" w:themeColor="accent1" w:sz="4" w:space="0"/>
          <w:right w:val="single" w:color="0F5CA2" w:themeColor="accent1" w:sz="4" w:space="0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color="0F5CA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color="FFFFFF" w:themeColor="background1" w:sz="8" w:space="0"/>
          <w:right w:val="nil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color="479EEE" w:themeColor="accent1" w:themeTint="99" w:sz="8" w:space="0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color="0F5CA2" w:themeColor="accent1" w:sz="4" w:space="0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styleId="Calendar1" w:customStyle="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Calendar3" w:customStyle="1">
    <w:name w:val="Calendar 3"/>
    <w:basedOn w:val="TableNormal"/>
    <w:uiPriority w:val="99"/>
    <w:qFormat/>
    <w:rsid w:val="008D7AC0"/>
    <w:pPr>
      <w:jc w:val="right"/>
    </w:pPr>
    <w:rPr>
      <w:rFonts w:asciiTheme="majorHAnsi" w:hAnsiTheme="majorHAnsi" w:eastAsiaTheme="majorEastAsia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styleId="Spacing" w:customStyle="1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styleId="Spacing2" w:customStyle="1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styleId="FactSheetTitle" w:customStyle="1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styleId="FactSheetSubtitle" w:customStyle="1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styleId="FactSheetTitleChar" w:customStyle="1">
    <w:name w:val="Fact Sheet Title Char"/>
    <w:basedOn w:val="TitleChar"/>
    <w:link w:val="FactSheetTitle"/>
    <w:uiPriority w:val="99"/>
    <w:semiHidden/>
    <w:rsid w:val="008D7AC0"/>
    <w:rPr>
      <w:rFonts w:ascii="Fira Sans SemiBold" w:hAnsi="Fira Sans SemiBold" w:eastAsiaTheme="majorEastAsia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styleId="FactSheetSubtitleChar" w:customStyle="1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styleId="QuoteChar" w:customStyle="1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styleId="ClearCharacter" w:customStyle="1">
    <w:name w:val="Clear Character"/>
    <w:qFormat/>
    <w:rsid w:val="008D7AC0"/>
  </w:style>
  <w:style w:type="paragraph" w:styleId="ClearParagraph" w:customStyle="1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styleId="FactSheetHeaderTitle" w:customStyle="1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styleId="FactsheetHeaderSubtitle" w:customStyle="1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styleId="FactSheetHeaderTitleChar" w:customStyle="1">
    <w:name w:val="Fact Sheet Header Title Char"/>
    <w:basedOn w:val="TitleChar"/>
    <w:link w:val="FactSheetHeaderTitle"/>
    <w:uiPriority w:val="97"/>
    <w:rsid w:val="00BC0093"/>
    <w:rPr>
      <w:rFonts w:ascii="Fira Sans SemiBold" w:hAnsi="Fira Sans SemiBold" w:eastAsiaTheme="majorEastAsia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styleId="FactsheetHeaderSubtitleChar" w:customStyle="1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styleId="CalloutChar" w:customStyle="1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styleId="ListBulletChar" w:customStyle="1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styleId="Bullets" w:customStyle="1">
    <w:name w:val="Bullets"/>
    <w:uiPriority w:val="99"/>
    <w:rsid w:val="008D7AC0"/>
    <w:pPr>
      <w:numPr>
        <w:numId w:val="1"/>
      </w:numPr>
    </w:pPr>
  </w:style>
  <w:style w:type="paragraph" w:styleId="Bluestrip" w:customStyle="1">
    <w:name w:val="Blue strip"/>
    <w:basedOn w:val="Normal"/>
    <w:uiPriority w:val="99"/>
    <w:qFormat/>
    <w:rsid w:val="008D7AC0"/>
    <w:pPr>
      <w:pBdr>
        <w:top w:val="single" w:color="0F5CA2" w:themeColor="accent1" w:sz="36" w:space="4"/>
        <w:bottom w:val="single" w:color="0F5CA2" w:themeColor="accent1" w:sz="36" w:space="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styleId="BodyTextCondensed" w:customStyle="1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styleId="BodyTextCondensedChar" w:customStyle="1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styleId="BodyTextExpanded" w:customStyle="1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styleId="BodyTextExpandedChar" w:customStyle="1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styleId="References" w:customStyle="1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styleId="TableHeading" w:customStyle="1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styleId="Note" w:customStyle="1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styleId="TextBoxBullets" w:customStyle="1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styleId="TOC1Char" w:customStyle="1">
    <w:name w:val="TOC 1 Char"/>
    <w:basedOn w:val="DefaultParagraphFont"/>
    <w:link w:val="TOC1"/>
    <w:uiPriority w:val="50"/>
    <w:rsid w:val="009E5C21"/>
    <w:rPr>
      <w:rFonts w:ascii="Fira Sans SemiBold" w:hAnsi="Fira Sans SemiBold" w:eastAsiaTheme="minorEastAsia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Alert" w:customStyle="1">
    <w:name w:val="Alert"/>
    <w:aliases w:val="Warning,Important"/>
    <w:basedOn w:val="Callout"/>
    <w:next w:val="BodyText"/>
    <w:uiPriority w:val="31"/>
    <w:qFormat/>
    <w:rsid w:val="008D7AC0"/>
    <w:pPr>
      <w:pBdr>
        <w:top w:val="single" w:color="F9E7E7" w:sz="4" w:space="10"/>
        <w:left w:val="single" w:color="F9E7E7" w:sz="4" w:space="25"/>
        <w:bottom w:val="single" w:color="F9E7E7" w:sz="4" w:space="10"/>
        <w:right w:val="single" w:color="F9E7E7" w:sz="4" w:space="25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styleId="DateChar" w:customStyle="1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hAnsiTheme="majorHAnsi" w:eastAsiaTheme="majorEastAsia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8D7AC0"/>
    <w:rPr>
      <w:rFonts w:asciiTheme="majorHAnsi" w:hAnsiTheme="majorHAnsi" w:eastAsiaTheme="majorEastAsia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BodyText2Column" w:customStyle="1">
    <w:name w:val="Body Text 2 Column"/>
    <w:basedOn w:val="BodyText"/>
    <w:uiPriority w:val="99"/>
    <w:qFormat/>
    <w:rsid w:val="006A4F86"/>
    <w:rPr>
      <w:kern w:val="19"/>
      <w:sz w:val="19"/>
    </w:rPr>
  </w:style>
  <w:style w:type="paragraph" w:styleId="BodyText2ColumnCondensed" w:customStyle="1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styleId="BulletList2Column" w:customStyle="1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styleId="NumberedList2Column" w:customStyle="1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styleId="Italics" w:customStyle="1">
    <w:name w:val="Italics"/>
    <w:basedOn w:val="DefaultParagraphFont"/>
    <w:uiPriority w:val="25"/>
    <w:qFormat/>
    <w:rsid w:val="00653729"/>
    <w:rPr>
      <w:i/>
      <w:iCs/>
    </w:rPr>
  </w:style>
  <w:style w:type="character" w:styleId="Semi-Bold" w:customStyle="1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styleId="BodyText2ColumnExpanded" w:customStyle="1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styleId="tablefigurenote" w:customStyle="1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styleId="HeaderTitle" w:customStyle="1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styleId="HeaderSubtitle" w:customStyle="1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styleId="HeaderTitleChar" w:customStyle="1">
    <w:name w:val="Header Title Char"/>
    <w:basedOn w:val="TitleChar"/>
    <w:link w:val="HeaderTitle"/>
    <w:rsid w:val="00B17E98"/>
    <w:rPr>
      <w:rFonts w:ascii="Fira Sans SemiBold" w:hAnsi="Fira Sans SemiBold" w:eastAsiaTheme="majorEastAsia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styleId="HeaderSubtitleChar" w:customStyle="1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styleId="TableTextLeftCharChar" w:customStyle="1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styleId="TableTextLeft" w:customStyle="1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styleId="TableHeadingLeft-White" w:customStyle="1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styleId="Default" w:customStyle="1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styleId="Heading" w:customStyle="1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hAnsi="Arial" w:eastAsia="Times New Roman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paragraph" w:styleId="TableTextCentre" w:customStyle="1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health.qld.gov.au/clinical-practice/guidelines-procedures/service-delivery/cscf/modules/default.asp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customXml" Target="../customXml/item6.xml" Id="rId23" /><Relationship Type="http://schemas.openxmlformats.org/officeDocument/2006/relationships/image" Target="media/image1.png" Id="rId10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customXml" Target="../customXml/item5.xml" Id="rId22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14463A1A-5F08-4B10-A3AF-56F574BD16B4}"/>
</file>

<file path=customXml/itemProps5.xml><?xml version="1.0" encoding="utf-8"?>
<ds:datastoreItem xmlns:ds="http://schemas.openxmlformats.org/officeDocument/2006/customXml" ds:itemID="{A52A189F-6C25-4C2B-A1B5-FF973F3A7AE3}"/>
</file>

<file path=customXml/itemProps6.xml><?xml version="1.0" encoding="utf-8"?>
<ds:datastoreItem xmlns:ds="http://schemas.openxmlformats.org/officeDocument/2006/customXml" ds:itemID="{2754BE13-6AC1-4343-80AF-7C5B877244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QH A4 Portrait Word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Kelly Merrylees</cp:lastModifiedBy>
  <cp:revision>4</cp:revision>
  <dcterms:created xsi:type="dcterms:W3CDTF">2022-03-03T02:05:00Z</dcterms:created>
  <dcterms:modified xsi:type="dcterms:W3CDTF">2024-10-30T05:20:16Z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