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831A" w14:textId="68884083" w:rsidR="00325221" w:rsidRPr="009D3C03" w:rsidRDefault="00325221" w:rsidP="00325221">
      <w:pPr>
        <w:spacing w:line="240" w:lineRule="auto"/>
        <w:rPr>
          <w:rFonts w:eastAsiaTheme="minorEastAsia"/>
          <w:b/>
          <w:bCs/>
          <w:color w:val="0F5CA2" w:themeColor="accent1"/>
          <w:kern w:val="21"/>
          <w14:numSpacing w14:val="proportional"/>
        </w:rPr>
      </w:pPr>
      <w:r w:rsidRPr="009D3C03">
        <w:rPr>
          <w:rFonts w:eastAsiaTheme="minorEastAsia"/>
          <w:b/>
          <w:bCs/>
          <w:noProof/>
          <w:color w:val="0F5CA2" w:themeColor="accent1"/>
          <w:kern w:val="21"/>
          <w14:numSpacing w14:val="proportiona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0EBE4C" wp14:editId="2E501A48">
                <wp:simplePos x="0" y="0"/>
                <wp:positionH relativeFrom="column">
                  <wp:posOffset>-364490</wp:posOffset>
                </wp:positionH>
                <wp:positionV relativeFrom="page">
                  <wp:posOffset>590550</wp:posOffset>
                </wp:positionV>
                <wp:extent cx="6197600" cy="1200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17B9" w14:textId="69C9D898" w:rsidR="00E92A10" w:rsidRPr="0082074C" w:rsidRDefault="00326891" w:rsidP="00623474">
                            <w:pPr>
                              <w:pStyle w:val="HeaderTitle"/>
                              <w:spacing w:before="0"/>
                            </w:pP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alias w:val="Title"/>
                                <w:tag w:val=""/>
                                <w:id w:val="-21356364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8262E">
                                  <w:rPr>
                                    <w:sz w:val="40"/>
                                    <w:szCs w:val="40"/>
                                  </w:rPr>
                                  <w:t>Private Health Regulation</w:t>
                                </w:r>
                              </w:sdtContent>
                            </w:sdt>
                          </w:p>
                          <w:p w14:paraId="3D2617B9" w14:textId="132E19D4" w:rsidR="00D60AF1" w:rsidRPr="00D60AF1" w:rsidRDefault="00326891" w:rsidP="00325221">
                            <w:pPr>
                              <w:pStyle w:val="HeaderSubtitle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Subject"/>
                                <w:tag w:val=""/>
                                <w:id w:val="1902254804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781F" w:rsidRPr="00224DB1">
                                  <w:rPr>
                                    <w:sz w:val="28"/>
                                    <w:szCs w:val="28"/>
                                  </w:rPr>
                                  <w:t xml:space="preserve">Supporting documentation </w:t>
                                </w:r>
                                <w:r w:rsidR="00224DB1">
                                  <w:rPr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F1781F" w:rsidRPr="00224DB1">
                                  <w:rPr>
                                    <w:sz w:val="28"/>
                                    <w:szCs w:val="28"/>
                                  </w:rPr>
                                  <w:t xml:space="preserve"> application for </w:t>
                                </w:r>
                                <w:r w:rsidR="00224DB1" w:rsidRPr="00224DB1">
                                  <w:rPr>
                                    <w:sz w:val="28"/>
                                    <w:szCs w:val="28"/>
                                  </w:rPr>
                                  <w:t xml:space="preserve">a </w:t>
                                </w:r>
                                <w:proofErr w:type="spellStart"/>
                                <w:r w:rsidR="00224DB1" w:rsidRPr="00224DB1">
                                  <w:rPr>
                                    <w:sz w:val="28"/>
                                    <w:szCs w:val="28"/>
                                  </w:rPr>
                                  <w:t>licence</w:t>
                                </w:r>
                                <w:proofErr w:type="spellEnd"/>
                                <w:r w:rsidR="00F1781F" w:rsidRPr="00224DB1">
                                  <w:rPr>
                                    <w:sz w:val="28"/>
                                    <w:szCs w:val="28"/>
                                  </w:rPr>
                                  <w:t xml:space="preserve"> to operate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B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7pt;margin-top:46.5pt;width:488pt;height:94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" filled="f" stroked="f">
                <v:textbox>
                  <w:txbxContent>
                    <w:p w14:paraId="662917B9" w14:textId="69C9D898" w:rsidR="00E92A10" w:rsidRPr="0082074C" w:rsidRDefault="00F10C7B" w:rsidP="00623474">
                      <w:pPr>
                        <w:pStyle w:val="HeaderTitle"/>
                        <w:spacing w:before="0"/>
                      </w:pPr>
                      <w:sdt>
                        <w:sdtPr>
                          <w:rPr>
                            <w:sz w:val="40"/>
                            <w:szCs w:val="40"/>
                          </w:rPr>
                          <w:alias w:val="Title"/>
                          <w:tag w:val=""/>
                          <w:id w:val="-21356364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8262E">
                            <w:rPr>
                              <w:sz w:val="40"/>
                              <w:szCs w:val="40"/>
                            </w:rPr>
                            <w:t>Private Health Regulation</w:t>
                          </w:r>
                        </w:sdtContent>
                      </w:sdt>
                    </w:p>
                    <w:p w14:paraId="3D2617B9" w14:textId="132E19D4" w:rsidR="00D60AF1" w:rsidRPr="00D60AF1" w:rsidRDefault="00F10C7B" w:rsidP="00325221">
                      <w:pPr>
                        <w:pStyle w:val="HeaderSubtitle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Subject"/>
                          <w:tag w:val=""/>
                          <w:id w:val="1902254804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1781F" w:rsidRPr="00224DB1">
                            <w:rPr>
                              <w:sz w:val="28"/>
                              <w:szCs w:val="28"/>
                            </w:rPr>
                            <w:t xml:space="preserve">Supporting documentation </w:t>
                          </w:r>
                          <w:r w:rsidR="00224DB1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 w:rsidR="00F1781F" w:rsidRPr="00224DB1">
                            <w:rPr>
                              <w:sz w:val="28"/>
                              <w:szCs w:val="28"/>
                            </w:rPr>
                            <w:t xml:space="preserve"> application for </w:t>
                          </w:r>
                          <w:r w:rsidR="00224DB1" w:rsidRPr="00224DB1">
                            <w:rPr>
                              <w:sz w:val="28"/>
                              <w:szCs w:val="28"/>
                            </w:rPr>
                            <w:t xml:space="preserve">a </w:t>
                          </w:r>
                          <w:proofErr w:type="spellStart"/>
                          <w:r w:rsidR="00224DB1" w:rsidRPr="00224DB1">
                            <w:rPr>
                              <w:sz w:val="28"/>
                              <w:szCs w:val="28"/>
                            </w:rPr>
                            <w:t>licence</w:t>
                          </w:r>
                          <w:proofErr w:type="spellEnd"/>
                          <w:r w:rsidR="00F1781F" w:rsidRPr="00224DB1">
                            <w:rPr>
                              <w:sz w:val="28"/>
                              <w:szCs w:val="28"/>
                            </w:rPr>
                            <w:t xml:space="preserve"> to operate</w:t>
                          </w:r>
                        </w:sdtContent>
                      </w:sdt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D3C03" w:rsidRPr="009D3C03">
        <w:rPr>
          <w:rFonts w:eastAsiaTheme="minorEastAsia"/>
          <w:b/>
          <w:bCs/>
          <w:noProof/>
          <w:color w:val="0F5CA2" w:themeColor="accent1"/>
          <w:kern w:val="21"/>
          <w14:numSpacing w14:val="proportional"/>
        </w:rPr>
        <w:drawing>
          <wp:anchor distT="0" distB="0" distL="114300" distR="114300" simplePos="0" relativeHeight="251710464" behindDoc="1" locked="0" layoutInCell="1" allowOverlap="1" wp14:anchorId="7F6702E9" wp14:editId="79A6B9C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9360" cy="1762125"/>
            <wp:effectExtent l="0" t="0" r="2540" b="9525"/>
            <wp:wrapTight wrapText="bothSides">
              <wp:wrapPolygon edited="1">
                <wp:start x="0" y="0"/>
                <wp:lineTo x="0" y="24859"/>
                <wp:lineTo x="21600" y="24724"/>
                <wp:lineTo x="21553" y="0"/>
                <wp:lineTo x="0" y="0"/>
              </wp:wrapPolygon>
            </wp:wrapTight>
            <wp:docPr id="13" name="Picture 13" descr="\\Mac\Home\Desktop\Headers\QH - A4 Fact Sheet - 297x210 - 3mm Blee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Mac\Home\Desktop\Headers\QH - A4 Fact Sheet - 297x210 - 3mm Bleed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793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325221" w:rsidRPr="005E30BA" w14:paraId="150F088A" w14:textId="77777777" w:rsidTr="00325221">
        <w:trPr>
          <w:cantSplit/>
          <w:tblHeader/>
        </w:trPr>
        <w:tc>
          <w:tcPr>
            <w:tcW w:w="5103" w:type="dxa"/>
            <w:shd w:val="clear" w:color="auto" w:fill="auto"/>
          </w:tcPr>
          <w:p w14:paraId="0E303F6F" w14:textId="77777777" w:rsidR="00325221" w:rsidRPr="00325221" w:rsidRDefault="00325221" w:rsidP="0065187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325221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Hospital Name:</w:t>
            </w:r>
          </w:p>
        </w:tc>
        <w:tc>
          <w:tcPr>
            <w:tcW w:w="5529" w:type="dxa"/>
            <w:shd w:val="clear" w:color="auto" w:fill="auto"/>
          </w:tcPr>
          <w:p w14:paraId="6BFE47A2" w14:textId="77777777" w:rsidR="00325221" w:rsidRPr="006F4D04" w:rsidRDefault="00325221" w:rsidP="00651874">
            <w:pPr>
              <w:spacing w:after="60"/>
              <w:rPr>
                <w:rFonts w:cs="Arial"/>
                <w:i/>
                <w:szCs w:val="22"/>
              </w:rPr>
            </w:pPr>
          </w:p>
        </w:tc>
      </w:tr>
      <w:tr w:rsidR="00325221" w:rsidRPr="005E30BA" w14:paraId="6C41BC45" w14:textId="77777777" w:rsidTr="00325221">
        <w:trPr>
          <w:cantSplit/>
          <w:tblHeader/>
        </w:trPr>
        <w:tc>
          <w:tcPr>
            <w:tcW w:w="5103" w:type="dxa"/>
            <w:shd w:val="clear" w:color="auto" w:fill="auto"/>
          </w:tcPr>
          <w:p w14:paraId="7CC7652E" w14:textId="77777777" w:rsidR="00325221" w:rsidRPr="00325221" w:rsidRDefault="00325221" w:rsidP="0065187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325221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Expected Commencement of Services Date:</w:t>
            </w:r>
          </w:p>
        </w:tc>
        <w:tc>
          <w:tcPr>
            <w:tcW w:w="5529" w:type="dxa"/>
            <w:shd w:val="clear" w:color="auto" w:fill="auto"/>
          </w:tcPr>
          <w:p w14:paraId="088187C1" w14:textId="309D08BB" w:rsidR="00325221" w:rsidRPr="005E30BA" w:rsidRDefault="00325221" w:rsidP="00651874">
            <w:pPr>
              <w:spacing w:after="60"/>
              <w:rPr>
                <w:rFonts w:cs="Arial"/>
                <w:szCs w:val="22"/>
              </w:rPr>
            </w:pPr>
          </w:p>
        </w:tc>
      </w:tr>
    </w:tbl>
    <w:p w14:paraId="15250F16" w14:textId="2FF05E7E" w:rsidR="00325221" w:rsidRDefault="009D3C03" w:rsidP="00325221">
      <w:pPr>
        <w:spacing w:line="240" w:lineRule="auto"/>
        <w:rPr>
          <w:rFonts w:eastAsiaTheme="minorEastAsia"/>
          <w:b/>
          <w:bCs/>
          <w:color w:val="0F5CA2" w:themeColor="accent1"/>
          <w:kern w:val="21"/>
          <w14:numSpacing w14:val="proportional"/>
        </w:rPr>
      </w:pPr>
      <w:r w:rsidRPr="009D3C03">
        <w:rPr>
          <w:rFonts w:eastAsiaTheme="minorEastAsia"/>
          <w:b/>
          <w:bCs/>
          <w:color w:val="0F5CA2" w:themeColor="accent1"/>
          <w:kern w:val="21"/>
          <w14:numSpacing w14:val="proportional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611"/>
        <w:gridCol w:w="604"/>
        <w:gridCol w:w="614"/>
        <w:gridCol w:w="3482"/>
      </w:tblGrid>
      <w:tr w:rsidR="00325221" w:rsidRPr="00727351" w14:paraId="451648A3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D8DBDB" w:themeFill="background2" w:themeFillShade="E6"/>
          </w:tcPr>
          <w:p w14:paraId="64CF89C0" w14:textId="77777777" w:rsidR="00325221" w:rsidRPr="00E62302" w:rsidRDefault="00325221" w:rsidP="0065187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E62302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Certificates required: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D8DBDB" w:themeFill="background2" w:themeFillShade="E6"/>
          </w:tcPr>
          <w:p w14:paraId="08E47D18" w14:textId="77777777" w:rsidR="00325221" w:rsidRPr="00E62302" w:rsidRDefault="00325221" w:rsidP="0065187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E62302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Yes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D8DBDB" w:themeFill="background2" w:themeFillShade="E6"/>
          </w:tcPr>
          <w:p w14:paraId="409FBC3D" w14:textId="77777777" w:rsidR="00325221" w:rsidRPr="00E62302" w:rsidRDefault="00325221" w:rsidP="0065187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E62302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No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8DBDB" w:themeFill="background2" w:themeFillShade="E6"/>
          </w:tcPr>
          <w:p w14:paraId="4B0544AE" w14:textId="77777777" w:rsidR="00325221" w:rsidRPr="00E62302" w:rsidRDefault="00325221" w:rsidP="0065187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E62302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N/A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D8DBDB" w:themeFill="background2" w:themeFillShade="E6"/>
          </w:tcPr>
          <w:p w14:paraId="24289CDB" w14:textId="5078A8B6" w:rsidR="00325221" w:rsidRPr="00E62302" w:rsidRDefault="00325221" w:rsidP="0065187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E62302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C</w:t>
            </w:r>
            <w:r w:rsid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omments</w:t>
            </w:r>
          </w:p>
        </w:tc>
      </w:tr>
      <w:tr w:rsidR="00325221" w:rsidRPr="00236395" w14:paraId="497E6F15" w14:textId="77777777" w:rsidTr="00325221">
        <w:tc>
          <w:tcPr>
            <w:tcW w:w="5321" w:type="dxa"/>
            <w:shd w:val="clear" w:color="auto" w:fill="auto"/>
          </w:tcPr>
          <w:p w14:paraId="02ED6F35" w14:textId="77777777" w:rsidR="00325221" w:rsidRPr="00EC5207" w:rsidRDefault="00325221" w:rsidP="00325221">
            <w:pPr>
              <w:numPr>
                <w:ilvl w:val="0"/>
                <w:numId w:val="33"/>
              </w:numPr>
              <w:tabs>
                <w:tab w:val="left" w:pos="360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>Local Authority Certificate of Occupancy</w:t>
            </w:r>
            <w:r>
              <w:rPr>
                <w:rFonts w:cs="Arial"/>
                <w:sz w:val="20"/>
                <w:szCs w:val="20"/>
              </w:rPr>
              <w:t xml:space="preserve"> by building certifier </w:t>
            </w:r>
          </w:p>
        </w:tc>
        <w:tc>
          <w:tcPr>
            <w:tcW w:w="611" w:type="dxa"/>
            <w:shd w:val="clear" w:color="auto" w:fill="auto"/>
          </w:tcPr>
          <w:p w14:paraId="69CFFD7F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6B3CE8A6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1AB60E49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554EC23D" w14:textId="77777777" w:rsidR="00325221" w:rsidRPr="00236395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B86D83" w14:paraId="3C076DF1" w14:textId="77777777" w:rsidTr="00325221">
        <w:tc>
          <w:tcPr>
            <w:tcW w:w="5321" w:type="dxa"/>
            <w:shd w:val="clear" w:color="auto" w:fill="auto"/>
          </w:tcPr>
          <w:p w14:paraId="12785911" w14:textId="77777777" w:rsidR="00325221" w:rsidRPr="00B86D83" w:rsidRDefault="00325221" w:rsidP="00325221">
            <w:pPr>
              <w:numPr>
                <w:ilvl w:val="0"/>
                <w:numId w:val="33"/>
              </w:numPr>
              <w:tabs>
                <w:tab w:val="left" w:pos="360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B86D83">
              <w:rPr>
                <w:rFonts w:cs="Arial"/>
                <w:sz w:val="20"/>
                <w:szCs w:val="20"/>
              </w:rPr>
              <w:t xml:space="preserve">Medical Gases installation compliance </w:t>
            </w:r>
            <w:r w:rsidRPr="00236C3F">
              <w:rPr>
                <w:rFonts w:cs="Arial"/>
                <w:b/>
                <w:sz w:val="20"/>
                <w:szCs w:val="20"/>
              </w:rPr>
              <w:t>and</w:t>
            </w:r>
            <w:r w:rsidRPr="00B86D83">
              <w:rPr>
                <w:rFonts w:cs="Arial"/>
                <w:sz w:val="20"/>
                <w:szCs w:val="20"/>
              </w:rPr>
              <w:t xml:space="preserve"> testing letter</w:t>
            </w:r>
          </w:p>
        </w:tc>
        <w:tc>
          <w:tcPr>
            <w:tcW w:w="611" w:type="dxa"/>
            <w:shd w:val="clear" w:color="auto" w:fill="auto"/>
          </w:tcPr>
          <w:p w14:paraId="2DFD8BE3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72EC4B78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6E1829C9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3007F324" w14:textId="77777777" w:rsidR="00325221" w:rsidRPr="00B86D83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236395" w14:paraId="2284DAC5" w14:textId="77777777" w:rsidTr="00325221">
        <w:tc>
          <w:tcPr>
            <w:tcW w:w="5321" w:type="dxa"/>
            <w:shd w:val="clear" w:color="auto" w:fill="auto"/>
          </w:tcPr>
          <w:p w14:paraId="0411836E" w14:textId="77777777" w:rsidR="00325221" w:rsidRPr="00104F2C" w:rsidRDefault="00325221" w:rsidP="00325221">
            <w:pPr>
              <w:numPr>
                <w:ilvl w:val="0"/>
                <w:numId w:val="33"/>
              </w:numPr>
              <w:tabs>
                <w:tab w:val="left" w:pos="360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>Electri</w:t>
            </w:r>
            <w:r>
              <w:rPr>
                <w:rFonts w:cs="Arial"/>
                <w:sz w:val="20"/>
                <w:szCs w:val="20"/>
              </w:rPr>
              <w:t xml:space="preserve">cal compliance </w:t>
            </w:r>
            <w:r w:rsidRPr="00236C3F">
              <w:rPr>
                <w:rFonts w:cs="Arial"/>
                <w:b/>
                <w:sz w:val="20"/>
                <w:szCs w:val="20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testing letter</w:t>
            </w:r>
          </w:p>
        </w:tc>
        <w:tc>
          <w:tcPr>
            <w:tcW w:w="611" w:type="dxa"/>
            <w:shd w:val="clear" w:color="auto" w:fill="auto"/>
          </w:tcPr>
          <w:p w14:paraId="2EEBD460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283F304E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1B2CFA7A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2791E181" w14:textId="77777777" w:rsidR="00325221" w:rsidRPr="00236395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236395" w14:paraId="4682A9EB" w14:textId="77777777" w:rsidTr="00325221">
        <w:tc>
          <w:tcPr>
            <w:tcW w:w="5321" w:type="dxa"/>
            <w:shd w:val="clear" w:color="auto" w:fill="auto"/>
          </w:tcPr>
          <w:p w14:paraId="5DC9874A" w14:textId="77777777" w:rsidR="00325221" w:rsidRPr="00104F2C" w:rsidRDefault="00325221" w:rsidP="00325221">
            <w:pPr>
              <w:numPr>
                <w:ilvl w:val="0"/>
                <w:numId w:val="33"/>
              </w:numPr>
              <w:tabs>
                <w:tab w:val="left" w:pos="360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 xml:space="preserve">Nurse / Emergency call compliance letter </w:t>
            </w:r>
            <w:r w:rsidRPr="00236C3F">
              <w:rPr>
                <w:rFonts w:cs="Arial"/>
                <w:b/>
                <w:sz w:val="20"/>
                <w:szCs w:val="20"/>
              </w:rPr>
              <w:t>plus</w:t>
            </w:r>
            <w:r w:rsidRPr="00104F2C">
              <w:rPr>
                <w:rFonts w:cs="Arial"/>
                <w:sz w:val="20"/>
                <w:szCs w:val="20"/>
              </w:rPr>
              <w:t xml:space="preserve"> verification of testing</w:t>
            </w:r>
          </w:p>
        </w:tc>
        <w:tc>
          <w:tcPr>
            <w:tcW w:w="611" w:type="dxa"/>
            <w:shd w:val="clear" w:color="auto" w:fill="auto"/>
          </w:tcPr>
          <w:p w14:paraId="175805EA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26E7A84B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20300743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6D9349CA" w14:textId="77777777" w:rsidR="00325221" w:rsidRPr="00236395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236395" w14:paraId="442FB075" w14:textId="77777777" w:rsidTr="00325221">
        <w:tc>
          <w:tcPr>
            <w:tcW w:w="5321" w:type="dxa"/>
            <w:shd w:val="clear" w:color="auto" w:fill="auto"/>
          </w:tcPr>
          <w:p w14:paraId="1DBD66A1" w14:textId="77777777" w:rsidR="00325221" w:rsidRPr="00104F2C" w:rsidRDefault="00325221" w:rsidP="00325221">
            <w:pPr>
              <w:numPr>
                <w:ilvl w:val="0"/>
                <w:numId w:val="33"/>
              </w:numPr>
              <w:tabs>
                <w:tab w:val="left" w:pos="0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 xml:space="preserve">Air-conditioning certificates </w:t>
            </w:r>
          </w:p>
        </w:tc>
        <w:tc>
          <w:tcPr>
            <w:tcW w:w="611" w:type="dxa"/>
            <w:shd w:val="clear" w:color="auto" w:fill="auto"/>
          </w:tcPr>
          <w:p w14:paraId="0616E231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36F03204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37BB907B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31A28E09" w14:textId="77777777" w:rsidR="00325221" w:rsidRPr="00236395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236395" w14:paraId="45C5792A" w14:textId="77777777" w:rsidTr="00325221">
        <w:tc>
          <w:tcPr>
            <w:tcW w:w="5321" w:type="dxa"/>
            <w:tcBorders>
              <w:bottom w:val="dotted" w:sz="4" w:space="0" w:color="auto"/>
            </w:tcBorders>
            <w:shd w:val="clear" w:color="auto" w:fill="auto"/>
          </w:tcPr>
          <w:p w14:paraId="74915364" w14:textId="77777777" w:rsidR="00325221" w:rsidRPr="00104F2C" w:rsidRDefault="00325221" w:rsidP="00325221">
            <w:pPr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1134"/>
                <w:tab w:val="left" w:pos="1843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>Medical equipment compliance statement:</w:t>
            </w:r>
          </w:p>
        </w:tc>
        <w:tc>
          <w:tcPr>
            <w:tcW w:w="611" w:type="dxa"/>
            <w:shd w:val="clear" w:color="auto" w:fill="auto"/>
          </w:tcPr>
          <w:p w14:paraId="063909D5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14:paraId="553AF670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20CFA28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dotted" w:sz="4" w:space="0" w:color="auto"/>
            </w:tcBorders>
            <w:shd w:val="clear" w:color="auto" w:fill="auto"/>
          </w:tcPr>
          <w:p w14:paraId="56E5B7B5" w14:textId="77777777" w:rsidR="00325221" w:rsidRPr="00236395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104F2C" w14:paraId="71C0B482" w14:textId="77777777" w:rsidTr="00325221"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C61500" w14:textId="77777777" w:rsidR="00325221" w:rsidRPr="00104F2C" w:rsidRDefault="00325221" w:rsidP="00325221">
            <w:pPr>
              <w:numPr>
                <w:ilvl w:val="0"/>
                <w:numId w:val="34"/>
              </w:numPr>
              <w:tabs>
                <w:tab w:val="left" w:pos="0"/>
                <w:tab w:val="left" w:pos="360"/>
              </w:tabs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 xml:space="preserve">for </w:t>
            </w:r>
            <w:r w:rsidRPr="00236C3F">
              <w:rPr>
                <w:rFonts w:cs="Arial"/>
                <w:b/>
                <w:sz w:val="20"/>
                <w:szCs w:val="20"/>
              </w:rPr>
              <w:t>new</w:t>
            </w:r>
            <w:r w:rsidRPr="00104F2C">
              <w:rPr>
                <w:rFonts w:cs="Arial"/>
                <w:sz w:val="20"/>
                <w:szCs w:val="20"/>
              </w:rPr>
              <w:t xml:space="preserve"> equipment – confirmation equipment has been switched on and tested and is covered under warranty</w:t>
            </w:r>
          </w:p>
        </w:tc>
        <w:tc>
          <w:tcPr>
            <w:tcW w:w="611" w:type="dxa"/>
            <w:shd w:val="clear" w:color="auto" w:fill="auto"/>
          </w:tcPr>
          <w:p w14:paraId="21208B8D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78965EEF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3BC4F84D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767705" w14:textId="77777777" w:rsidR="00325221" w:rsidRPr="00104F2C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104F2C" w14:paraId="149321C3" w14:textId="77777777" w:rsidTr="00325221">
        <w:tc>
          <w:tcPr>
            <w:tcW w:w="5321" w:type="dxa"/>
            <w:tcBorders>
              <w:top w:val="dotted" w:sz="4" w:space="0" w:color="auto"/>
            </w:tcBorders>
            <w:shd w:val="clear" w:color="auto" w:fill="auto"/>
          </w:tcPr>
          <w:p w14:paraId="08D9DA30" w14:textId="77777777" w:rsidR="00325221" w:rsidRPr="00104F2C" w:rsidRDefault="00325221" w:rsidP="00325221">
            <w:pPr>
              <w:numPr>
                <w:ilvl w:val="0"/>
                <w:numId w:val="34"/>
              </w:numPr>
              <w:tabs>
                <w:tab w:val="left" w:pos="0"/>
                <w:tab w:val="left" w:pos="360"/>
              </w:tabs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 xml:space="preserve">for </w:t>
            </w:r>
            <w:r w:rsidRPr="00236C3F">
              <w:rPr>
                <w:rFonts w:cs="Arial"/>
                <w:b/>
                <w:sz w:val="20"/>
                <w:szCs w:val="20"/>
              </w:rPr>
              <w:t>existing</w:t>
            </w:r>
            <w:r w:rsidRPr="00104F2C">
              <w:rPr>
                <w:rFonts w:cs="Arial"/>
                <w:sz w:val="20"/>
                <w:szCs w:val="20"/>
              </w:rPr>
              <w:t xml:space="preserve"> equipment – compliance statement equipment tagged and tested</w:t>
            </w:r>
          </w:p>
        </w:tc>
        <w:tc>
          <w:tcPr>
            <w:tcW w:w="611" w:type="dxa"/>
            <w:shd w:val="clear" w:color="auto" w:fill="auto"/>
          </w:tcPr>
          <w:p w14:paraId="289419C3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54AD1BC4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100F0473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top w:val="dotted" w:sz="4" w:space="0" w:color="auto"/>
            </w:tcBorders>
            <w:shd w:val="clear" w:color="auto" w:fill="auto"/>
          </w:tcPr>
          <w:p w14:paraId="2B2A65E1" w14:textId="77777777" w:rsidR="00325221" w:rsidRPr="00104F2C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104F2C" w14:paraId="490214FE" w14:textId="77777777" w:rsidTr="00325221">
        <w:tc>
          <w:tcPr>
            <w:tcW w:w="5321" w:type="dxa"/>
            <w:shd w:val="clear" w:color="auto" w:fill="auto"/>
          </w:tcPr>
          <w:p w14:paraId="6B82F214" w14:textId="77777777" w:rsidR="00325221" w:rsidRPr="00104F2C" w:rsidRDefault="00325221" w:rsidP="00325221">
            <w:pPr>
              <w:numPr>
                <w:ilvl w:val="0"/>
                <w:numId w:val="33"/>
              </w:numPr>
              <w:tabs>
                <w:tab w:val="left" w:pos="366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</w:t>
            </w:r>
            <w:r w:rsidRPr="00104F2C">
              <w:rPr>
                <w:rFonts w:cs="Arial"/>
                <w:sz w:val="20"/>
                <w:szCs w:val="20"/>
                <w:lang w:val="en-GB"/>
              </w:rPr>
              <w:t>iagrammatic evacuation plan reflecting building works</w:t>
            </w:r>
          </w:p>
        </w:tc>
        <w:tc>
          <w:tcPr>
            <w:tcW w:w="611" w:type="dxa"/>
            <w:shd w:val="clear" w:color="auto" w:fill="auto"/>
          </w:tcPr>
          <w:p w14:paraId="198DEAF8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747BEFC0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51A999C7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727D3909" w14:textId="77777777" w:rsidR="00325221" w:rsidRPr="00104F2C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325221" w:rsidRPr="00104F2C" w14:paraId="551DF575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6FEC1E86" w14:textId="77777777" w:rsidR="00325221" w:rsidRPr="00104F2C" w:rsidRDefault="00325221" w:rsidP="00325221">
            <w:pPr>
              <w:numPr>
                <w:ilvl w:val="0"/>
                <w:numId w:val="33"/>
              </w:numPr>
              <w:tabs>
                <w:tab w:val="left" w:pos="366"/>
              </w:tabs>
              <w:spacing w:after="60"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104F2C">
              <w:rPr>
                <w:rFonts w:cs="Arial"/>
                <w:sz w:val="20"/>
                <w:szCs w:val="20"/>
              </w:rPr>
              <w:t>Testing of emergency generator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505BFB1B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3BD2188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9BC5FBC" w14:textId="77777777" w:rsidR="00325221" w:rsidRPr="00236395" w:rsidRDefault="00325221" w:rsidP="00651874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0AB1768F" w14:textId="77777777" w:rsidR="00325221" w:rsidRPr="00104F2C" w:rsidRDefault="00325221" w:rsidP="00651874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655DF7" w:rsidRPr="00104F2C" w14:paraId="130B596F" w14:textId="77777777" w:rsidTr="00655DF7">
        <w:tc>
          <w:tcPr>
            <w:tcW w:w="53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C209C" w14:textId="345680B7" w:rsidR="00655DF7" w:rsidRPr="00655DF7" w:rsidRDefault="005206BA" w:rsidP="00655DF7">
            <w:pPr>
              <w:spacing w:after="60" w:line="240" w:lineRule="auto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 xml:space="preserve">Policies / Documentation </w:t>
            </w:r>
            <w:r w:rsidR="00CC70A2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 xml:space="preserve">/ Information </w:t>
            </w:r>
            <w:r w:rsidR="00655DF7"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required: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CBEE5E" w14:textId="15AB7142" w:rsidR="00655DF7" w:rsidRPr="00655DF7" w:rsidRDefault="00655DF7" w:rsidP="00655DF7">
            <w:pPr>
              <w:spacing w:after="60"/>
              <w:jc w:val="center"/>
              <w:rPr>
                <w:rFonts w:cs="Arial"/>
                <w:color w:val="0F5CA2" w:themeColor="accent1"/>
                <w:sz w:val="20"/>
                <w:szCs w:val="16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Yes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462FD" w14:textId="6D24BC34" w:rsidR="00655DF7" w:rsidRPr="00655DF7" w:rsidRDefault="00655DF7" w:rsidP="00655DF7">
            <w:pPr>
              <w:spacing w:after="60"/>
              <w:jc w:val="center"/>
              <w:rPr>
                <w:rFonts w:cs="Arial"/>
                <w:color w:val="0F5CA2" w:themeColor="accent1"/>
                <w:sz w:val="20"/>
                <w:szCs w:val="16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No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D671C1" w14:textId="3554FED1" w:rsidR="00655DF7" w:rsidRPr="00655DF7" w:rsidRDefault="00655DF7" w:rsidP="00655DF7">
            <w:pPr>
              <w:spacing w:after="60"/>
              <w:jc w:val="center"/>
              <w:rPr>
                <w:rFonts w:cs="Arial"/>
                <w:color w:val="0F5CA2" w:themeColor="accent1"/>
                <w:sz w:val="20"/>
                <w:szCs w:val="16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N/A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D6DDE5" w14:textId="1C96F729" w:rsidR="00655DF7" w:rsidRPr="00655DF7" w:rsidRDefault="00655DF7" w:rsidP="00655DF7">
            <w:pPr>
              <w:spacing w:after="60"/>
              <w:rPr>
                <w:rFonts w:cs="Arial"/>
                <w:color w:val="0F5CA2" w:themeColor="accent1"/>
                <w:sz w:val="20"/>
                <w:szCs w:val="20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Comments</w:t>
            </w:r>
          </w:p>
        </w:tc>
      </w:tr>
      <w:tr w:rsidR="00CC70A2" w:rsidRPr="00104F2C" w14:paraId="50996632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3572B67D" w14:textId="4DA947D7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  <w:rPr>
                <w:lang w:val="en-AU"/>
              </w:rPr>
            </w:pPr>
            <w:r>
              <w:t>Medical emergency policy including patient transfer procedures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0CCFB7F9" w14:textId="44DEE349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7D187C7" w14:textId="35C24209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5C52993C" w14:textId="786C16ED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67CD789F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189C777A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27F25E5D" w14:textId="531FCFCD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Patient admission criteria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81AD33B" w14:textId="65B8831F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8262FCF" w14:textId="728B345E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C050CF0" w14:textId="616500DE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78CE2CE0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6F1FAE35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45A03E97" w14:textId="0C2CA223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Patient consent procedures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F8DF455" w14:textId="7ADF3543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3E333AC" w14:textId="600B4BC4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6E4242AB" w14:textId="2C6684EE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7F049D9E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32CDB9EA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2D6B122E" w14:textId="575F44C5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Patient complaint procedures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FA529FA" w14:textId="7406796C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E484FA8" w14:textId="376D11B5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724D957" w14:textId="6E4D0EC3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1BB2BB72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7BF781AE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19621403" w14:textId="79E2538E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Infection control policy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62A66DF0" w14:textId="1D3C5005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5D46888" w14:textId="2DD688FD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60BAE2CD" w14:textId="1A521C17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7C9BB18E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21CEFFD4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6136DC08" w14:textId="7C416EBE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Medication management plan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0A4076F" w14:textId="5B0C7173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FBDEFB5" w14:textId="0769337B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4A1F069" w14:textId="69E89BF8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4390B726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5DC9704D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1D392562" w14:textId="5DBD6502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Quality policy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345BF160" w14:textId="1BB47255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647C25F" w14:textId="7492D64E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9F88FD3" w14:textId="40346DB7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5FB27F45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1A111B9D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13E62BF1" w14:textId="3EE8FCD9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Storage and collection of waste, including contaminated waste policy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00307A98" w14:textId="3661D73A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EDBDBFA" w14:textId="628AAC6D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392FFF5" w14:textId="7D05C210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29721EB7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530999E2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1D5D144E" w14:textId="581FCCED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Risk management plan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6E0A5A4" w14:textId="60F2D24D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33F4BFC" w14:textId="5E7AC2CA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6E52E05B" w14:textId="268FB206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7C75ECC7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243C7D09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32615C3A" w14:textId="2BC10AD2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lastRenderedPageBreak/>
              <w:t>Credentialing and clinical privileges committee terms of reference and meeting minutes which includes names of members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5C1BF0D7" w14:textId="71AD6692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6F344CB" w14:textId="2444D970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DA2EDAC" w14:textId="005674D5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5E84B5BA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719391E7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3F957B4A" w14:textId="03DF8A30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 xml:space="preserve">Infection Control committee meeting minutes which </w:t>
            </w:r>
            <w:proofErr w:type="gramStart"/>
            <w:r>
              <w:t>includes</w:t>
            </w:r>
            <w:proofErr w:type="gramEnd"/>
            <w:r>
              <w:t xml:space="preserve"> names of members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64A7A87D" w14:textId="0FCCCC60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EF79EC0" w14:textId="3EC92CCF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C91EF56" w14:textId="46C8D04E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159789F1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47F0EDCE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45514354" w14:textId="6568E026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Proposed staff roster for each clinical area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5990C375" w14:textId="20EC1ADA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1A74675" w14:textId="1CCEE0DC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946C003" w14:textId="47950C39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1A40EDD6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1A1449FF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00DFC11F" w14:textId="03756CC7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>Staff orientation program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300681A" w14:textId="3C02B84E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1A67CDE" w14:textId="4F655AC2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B114AAB" w14:textId="7E5796D2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716A6792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F33DCC" w:rsidRPr="00104F2C" w14:paraId="63799FDC" w14:textId="77777777" w:rsidTr="00B8011D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69C2AF5B" w14:textId="77777777" w:rsidR="00F33DCC" w:rsidRDefault="00F33DCC" w:rsidP="00B8011D">
            <w:pPr>
              <w:numPr>
                <w:ilvl w:val="0"/>
                <w:numId w:val="33"/>
              </w:numPr>
              <w:spacing w:after="60" w:line="240" w:lineRule="auto"/>
              <w:ind w:left="318" w:hanging="318"/>
            </w:pPr>
            <w:r>
              <w:t>Proposed medical record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6CCE271F" w14:textId="77777777" w:rsidR="00F33DCC" w:rsidRDefault="00F33DCC" w:rsidP="00B8011D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BBFD423" w14:textId="77777777" w:rsidR="00F33DCC" w:rsidRDefault="00F33DCC" w:rsidP="00B8011D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93A1091" w14:textId="77777777" w:rsidR="00F33DCC" w:rsidRDefault="00F33DCC" w:rsidP="00B8011D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539A59F3" w14:textId="77777777" w:rsidR="00F33DCC" w:rsidRPr="00104F2C" w:rsidRDefault="00F33DCC" w:rsidP="00B8011D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0437E257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17677C27" w14:textId="09325926" w:rsidR="00CC70A2" w:rsidRPr="005206BA" w:rsidRDefault="00CC70A2" w:rsidP="00CC70A2">
            <w:pPr>
              <w:numPr>
                <w:ilvl w:val="0"/>
                <w:numId w:val="33"/>
              </w:numPr>
              <w:spacing w:afterLines="60" w:after="144" w:line="240" w:lineRule="auto"/>
              <w:ind w:left="320"/>
            </w:pPr>
            <w:r>
              <w:t xml:space="preserve">Results of initial water testing taken for </w:t>
            </w:r>
            <w:r>
              <w:rPr>
                <w:rStyle w:val="Emphasis"/>
              </w:rPr>
              <w:t>Legionella.</w:t>
            </w:r>
            <w:r>
              <w:t xml:space="preserve"> NB In accordance with the </w:t>
            </w:r>
            <w:r>
              <w:rPr>
                <w:rStyle w:val="Emphasis"/>
              </w:rPr>
              <w:t>Public Health Act 2005</w:t>
            </w:r>
            <w:r>
              <w:t xml:space="preserve">, you are required to develop and implement a water risk management plan. </w:t>
            </w:r>
            <w:hyperlink r:id="rId14" w:history="1">
              <w:r>
                <w:rPr>
                  <w:rStyle w:val="Hyperlink"/>
                </w:rPr>
                <w:t>More information</w:t>
              </w:r>
            </w:hyperlink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812A6B4" w14:textId="0141E809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E922C9E" w14:textId="586F4A8E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8C69286" w14:textId="408C06A6" w:rsidR="00CC70A2" w:rsidRDefault="00CC70A2" w:rsidP="00CC70A2">
            <w:pPr>
              <w:spacing w:afterLines="60" w:after="144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04EFF287" w14:textId="77777777" w:rsidR="00CC70A2" w:rsidRPr="00104F2C" w:rsidRDefault="00CC70A2" w:rsidP="00CC70A2">
            <w:pPr>
              <w:spacing w:afterLines="60" w:after="144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5833DB3A" w14:textId="77777777" w:rsidTr="00E62302"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6EF2C70B" w14:textId="6B92B569" w:rsidR="00CC70A2" w:rsidRDefault="00CC70A2" w:rsidP="00CC70A2">
            <w:pPr>
              <w:numPr>
                <w:ilvl w:val="0"/>
                <w:numId w:val="33"/>
              </w:numPr>
              <w:spacing w:after="60" w:line="240" w:lineRule="auto"/>
              <w:ind w:left="318" w:hanging="318"/>
              <w:rPr>
                <w:rFonts w:cs="Arial"/>
                <w:sz w:val="20"/>
                <w:szCs w:val="20"/>
              </w:rPr>
            </w:pPr>
            <w:r>
              <w:t>Name of quality assurance entity, date of registration and proposed date of initial certification.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2CAEDF9" w14:textId="56E7E42C" w:rsidR="00CC70A2" w:rsidRDefault="00CC70A2" w:rsidP="00CC70A2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E1868C2" w14:textId="19294BF8" w:rsidR="00CC70A2" w:rsidRDefault="00CC70A2" w:rsidP="00CC70A2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977CBB2" w14:textId="605436B8" w:rsidR="00CC70A2" w:rsidRDefault="00CC70A2" w:rsidP="00CC70A2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14:paraId="43CE30D3" w14:textId="77777777" w:rsidR="00CC70A2" w:rsidRPr="00104F2C" w:rsidRDefault="00CC70A2" w:rsidP="00CC70A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F677F4" w:rsidRPr="00104F2C" w14:paraId="53E1F114" w14:textId="77777777" w:rsidTr="00E62302">
        <w:tc>
          <w:tcPr>
            <w:tcW w:w="10632" w:type="dxa"/>
            <w:gridSpan w:val="5"/>
            <w:shd w:val="clear" w:color="auto" w:fill="D8DBDB" w:themeFill="background2" w:themeFillShade="E6"/>
          </w:tcPr>
          <w:p w14:paraId="6EF54EEE" w14:textId="77777777" w:rsidR="00F677F4" w:rsidRPr="00E62302" w:rsidRDefault="00F677F4" w:rsidP="00F677F4">
            <w:pPr>
              <w:spacing w:after="60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 w:rsidRPr="00E62302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 xml:space="preserve">Other: </w:t>
            </w:r>
          </w:p>
        </w:tc>
      </w:tr>
      <w:tr w:rsidR="00CC70A2" w:rsidRPr="00104F2C" w14:paraId="202DA218" w14:textId="77777777" w:rsidTr="005E66D0">
        <w:tc>
          <w:tcPr>
            <w:tcW w:w="5321" w:type="dxa"/>
            <w:shd w:val="clear" w:color="auto" w:fill="auto"/>
          </w:tcPr>
          <w:p w14:paraId="1C0B2B69" w14:textId="77777777" w:rsidR="00CC70A2" w:rsidRPr="00104F2C" w:rsidRDefault="00CC70A2" w:rsidP="00CC70A2">
            <w:pPr>
              <w:numPr>
                <w:ilvl w:val="0"/>
                <w:numId w:val="33"/>
              </w:numPr>
              <w:spacing w:after="60" w:line="240" w:lineRule="auto"/>
              <w:ind w:left="4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Facility phone number and fax number:</w:t>
            </w:r>
          </w:p>
        </w:tc>
        <w:tc>
          <w:tcPr>
            <w:tcW w:w="611" w:type="dxa"/>
            <w:shd w:val="clear" w:color="auto" w:fill="auto"/>
          </w:tcPr>
          <w:p w14:paraId="738D174F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06C42C70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2EE9662F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4B01D3F8" w14:textId="77777777" w:rsidR="00CC70A2" w:rsidRPr="00104F2C" w:rsidRDefault="00CC70A2" w:rsidP="005E66D0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71C5575B" w14:textId="77777777" w:rsidTr="005E66D0">
        <w:tc>
          <w:tcPr>
            <w:tcW w:w="5321" w:type="dxa"/>
            <w:shd w:val="clear" w:color="auto" w:fill="auto"/>
          </w:tcPr>
          <w:p w14:paraId="11B033C2" w14:textId="77777777" w:rsidR="00CC70A2" w:rsidRPr="00104F2C" w:rsidRDefault="00CC70A2" w:rsidP="00CC70A2">
            <w:pPr>
              <w:numPr>
                <w:ilvl w:val="0"/>
                <w:numId w:val="33"/>
              </w:numPr>
              <w:spacing w:after="60" w:line="240" w:lineRule="auto"/>
              <w:ind w:left="4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611" w:type="dxa"/>
            <w:shd w:val="clear" w:color="auto" w:fill="auto"/>
          </w:tcPr>
          <w:p w14:paraId="2FBE666E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366C5258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749FBF46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2F79E14F" w14:textId="77777777" w:rsidR="00CC70A2" w:rsidRPr="00104F2C" w:rsidRDefault="00CC70A2" w:rsidP="005E66D0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4F105BBD" w14:textId="77777777" w:rsidTr="005E66D0">
        <w:tc>
          <w:tcPr>
            <w:tcW w:w="5321" w:type="dxa"/>
            <w:shd w:val="clear" w:color="auto" w:fill="auto"/>
          </w:tcPr>
          <w:p w14:paraId="3AB53F16" w14:textId="77777777" w:rsidR="00CC70A2" w:rsidRPr="00104F2C" w:rsidRDefault="00CC70A2" w:rsidP="00CC70A2">
            <w:pPr>
              <w:numPr>
                <w:ilvl w:val="0"/>
                <w:numId w:val="33"/>
              </w:numPr>
              <w:spacing w:after="60" w:line="240" w:lineRule="auto"/>
              <w:ind w:left="4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Proposed accreditation date:</w:t>
            </w:r>
          </w:p>
        </w:tc>
        <w:tc>
          <w:tcPr>
            <w:tcW w:w="611" w:type="dxa"/>
            <w:shd w:val="clear" w:color="auto" w:fill="auto"/>
          </w:tcPr>
          <w:p w14:paraId="564200BD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3D233305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0A6910ED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7BBAF9DC" w14:textId="77777777" w:rsidR="00CC70A2" w:rsidRPr="00104F2C" w:rsidRDefault="00CC70A2" w:rsidP="005E66D0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2C4FCF85" w14:textId="77777777" w:rsidTr="005E66D0">
        <w:tc>
          <w:tcPr>
            <w:tcW w:w="5321" w:type="dxa"/>
            <w:shd w:val="clear" w:color="auto" w:fill="auto"/>
          </w:tcPr>
          <w:p w14:paraId="419C5460" w14:textId="77777777" w:rsidR="00CC70A2" w:rsidRPr="00104F2C" w:rsidRDefault="00CC70A2" w:rsidP="00CC70A2">
            <w:pPr>
              <w:numPr>
                <w:ilvl w:val="0"/>
                <w:numId w:val="33"/>
              </w:numPr>
              <w:spacing w:after="60" w:line="240" w:lineRule="auto"/>
              <w:ind w:left="4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Timeframe for staff orientation:</w:t>
            </w:r>
          </w:p>
        </w:tc>
        <w:tc>
          <w:tcPr>
            <w:tcW w:w="611" w:type="dxa"/>
            <w:shd w:val="clear" w:color="auto" w:fill="auto"/>
          </w:tcPr>
          <w:p w14:paraId="255DC43D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193E1814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7E2E686A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5568B0B4" w14:textId="77777777" w:rsidR="00CC70A2" w:rsidRPr="00104F2C" w:rsidRDefault="00CC70A2" w:rsidP="005E66D0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192F2257" w14:textId="77777777" w:rsidTr="005E66D0">
        <w:tc>
          <w:tcPr>
            <w:tcW w:w="5321" w:type="dxa"/>
            <w:shd w:val="clear" w:color="auto" w:fill="auto"/>
          </w:tcPr>
          <w:p w14:paraId="0CD8EAE6" w14:textId="77777777" w:rsidR="00CC70A2" w:rsidRPr="00104F2C" w:rsidRDefault="00CC70A2" w:rsidP="00CC70A2">
            <w:pPr>
              <w:numPr>
                <w:ilvl w:val="0"/>
                <w:numId w:val="33"/>
              </w:numPr>
              <w:spacing w:after="60" w:line="240" w:lineRule="auto"/>
              <w:ind w:left="4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Admission/Discharge and Theatre register:</w:t>
            </w:r>
          </w:p>
        </w:tc>
        <w:tc>
          <w:tcPr>
            <w:tcW w:w="611" w:type="dxa"/>
            <w:shd w:val="clear" w:color="auto" w:fill="auto"/>
          </w:tcPr>
          <w:p w14:paraId="78B83B43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4EC68501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30E96762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052FE349" w14:textId="77777777" w:rsidR="00CC70A2" w:rsidRPr="00104F2C" w:rsidRDefault="00CC70A2" w:rsidP="005E66D0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33266A80" w14:textId="77777777" w:rsidTr="005E66D0">
        <w:tc>
          <w:tcPr>
            <w:tcW w:w="53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D36E9A" w14:textId="77777777" w:rsidR="00CC70A2" w:rsidRPr="00655DF7" w:rsidRDefault="00CC70A2" w:rsidP="005E66D0">
            <w:pPr>
              <w:spacing w:after="60" w:line="240" w:lineRule="auto"/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</w:pPr>
            <w:r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Confirmation of contact</w:t>
            </w: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: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470A13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color w:val="0F5CA2" w:themeColor="accent1"/>
                <w:sz w:val="20"/>
                <w:szCs w:val="16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Yes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5A45C1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color w:val="0F5CA2" w:themeColor="accent1"/>
                <w:sz w:val="20"/>
                <w:szCs w:val="16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No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32E88F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color w:val="0F5CA2" w:themeColor="accent1"/>
                <w:sz w:val="20"/>
                <w:szCs w:val="16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N/A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10A212" w14:textId="77777777" w:rsidR="00CC70A2" w:rsidRPr="00655DF7" w:rsidRDefault="00CC70A2" w:rsidP="005E66D0">
            <w:pPr>
              <w:spacing w:after="60"/>
              <w:rPr>
                <w:rFonts w:cs="Arial"/>
                <w:color w:val="0F5CA2" w:themeColor="accent1"/>
                <w:sz w:val="20"/>
                <w:szCs w:val="20"/>
              </w:rPr>
            </w:pPr>
            <w:r w:rsidRPr="00655DF7">
              <w:rPr>
                <w:rFonts w:eastAsiaTheme="minorEastAsia"/>
                <w:b/>
                <w:bCs/>
                <w:color w:val="0F5CA2" w:themeColor="accent1"/>
                <w:kern w:val="21"/>
                <w14:numSpacing w14:val="proportional"/>
              </w:rPr>
              <w:t>Comments</w:t>
            </w:r>
          </w:p>
        </w:tc>
      </w:tr>
      <w:tr w:rsidR="00CC70A2" w:rsidRPr="00483751" w14:paraId="74363A57" w14:textId="77777777" w:rsidTr="005E66D0">
        <w:trPr>
          <w:trHeight w:val="575"/>
        </w:trPr>
        <w:tc>
          <w:tcPr>
            <w:tcW w:w="5321" w:type="dxa"/>
          </w:tcPr>
          <w:p w14:paraId="63D081CC" w14:textId="77777777" w:rsidR="00CC70A2" w:rsidRDefault="00CC70A2" w:rsidP="00B8262E">
            <w:pPr>
              <w:numPr>
                <w:ilvl w:val="0"/>
                <w:numId w:val="33"/>
              </w:numPr>
              <w:tabs>
                <w:tab w:val="left" w:pos="318"/>
                <w:tab w:val="left" w:pos="426"/>
                <w:tab w:val="left" w:pos="1418"/>
                <w:tab w:val="left" w:pos="1701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3"/>
                <w:tab w:val="left" w:pos="5529"/>
                <w:tab w:val="left" w:pos="5954"/>
              </w:tabs>
              <w:spacing w:line="240" w:lineRule="auto"/>
              <w:ind w:left="318" w:hanging="284"/>
              <w:rPr>
                <w:sz w:val="20"/>
                <w:szCs w:val="20"/>
              </w:rPr>
            </w:pPr>
            <w:r w:rsidRPr="00483751">
              <w:rPr>
                <w:sz w:val="20"/>
                <w:szCs w:val="20"/>
              </w:rPr>
              <w:t xml:space="preserve">Confirmation that </w:t>
            </w:r>
            <w:proofErr w:type="gramStart"/>
            <w:r>
              <w:rPr>
                <w:sz w:val="20"/>
                <w:szCs w:val="20"/>
              </w:rPr>
              <w:t>contact</w:t>
            </w:r>
            <w:proofErr w:type="gramEnd"/>
            <w:r>
              <w:rPr>
                <w:sz w:val="20"/>
                <w:szCs w:val="20"/>
              </w:rPr>
              <w:t xml:space="preserve"> has been made with and that </w:t>
            </w:r>
            <w:r w:rsidRPr="00483751">
              <w:rPr>
                <w:sz w:val="20"/>
                <w:szCs w:val="20"/>
              </w:rPr>
              <w:t xml:space="preserve">systems are in place for the submission of </w:t>
            </w:r>
            <w:r>
              <w:rPr>
                <w:sz w:val="20"/>
                <w:szCs w:val="20"/>
              </w:rPr>
              <w:t>patient</w:t>
            </w:r>
            <w:r w:rsidRPr="00483751">
              <w:rPr>
                <w:sz w:val="20"/>
                <w:szCs w:val="20"/>
              </w:rPr>
              <w:t xml:space="preserve"> activity </w:t>
            </w:r>
            <w:r>
              <w:rPr>
                <w:sz w:val="20"/>
                <w:szCs w:val="20"/>
              </w:rPr>
              <w:t>data</w:t>
            </w:r>
            <w:r w:rsidRPr="00483751">
              <w:rPr>
                <w:sz w:val="20"/>
                <w:szCs w:val="20"/>
              </w:rPr>
              <w:t xml:space="preserve"> </w:t>
            </w:r>
            <w:r w:rsidRPr="00FA4AAF">
              <w:rPr>
                <w:sz w:val="20"/>
                <w:szCs w:val="20"/>
              </w:rPr>
              <w:t xml:space="preserve">as required by the Chief Health Officer via the </w:t>
            </w:r>
            <w:r w:rsidRPr="00483751">
              <w:rPr>
                <w:sz w:val="20"/>
                <w:szCs w:val="20"/>
              </w:rPr>
              <w:t xml:space="preserve">Health Statistics </w:t>
            </w:r>
            <w:r>
              <w:rPr>
                <w:sz w:val="20"/>
                <w:szCs w:val="20"/>
              </w:rPr>
              <w:t>Unit, Queensland Health as follows:</w:t>
            </w:r>
          </w:p>
          <w:p w14:paraId="51104C05" w14:textId="77777777" w:rsidR="00CC70A2" w:rsidRDefault="00CC70A2" w:rsidP="00B8262E">
            <w:pPr>
              <w:tabs>
                <w:tab w:val="left" w:pos="426"/>
                <w:tab w:val="left" w:pos="851"/>
                <w:tab w:val="left" w:pos="1418"/>
                <w:tab w:val="left" w:pos="1701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3"/>
                <w:tab w:val="left" w:pos="5529"/>
                <w:tab w:val="left" w:pos="5954"/>
              </w:tabs>
              <w:spacing w:line="240" w:lineRule="auto"/>
              <w:rPr>
                <w:sz w:val="20"/>
                <w:szCs w:val="20"/>
              </w:rPr>
            </w:pPr>
          </w:p>
          <w:p w14:paraId="79413EA5" w14:textId="1BBAC584" w:rsidR="00CC70A2" w:rsidRPr="001B5F83" w:rsidRDefault="00CC70A2" w:rsidP="00B8262E">
            <w:pPr>
              <w:numPr>
                <w:ilvl w:val="0"/>
                <w:numId w:val="34"/>
              </w:numPr>
              <w:tabs>
                <w:tab w:val="left" w:pos="426"/>
                <w:tab w:val="left" w:pos="459"/>
                <w:tab w:val="left" w:pos="1418"/>
                <w:tab w:val="left" w:pos="1701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3"/>
                <w:tab w:val="left" w:pos="5529"/>
                <w:tab w:val="left" w:pos="5954"/>
              </w:tabs>
              <w:spacing w:line="240" w:lineRule="auto"/>
              <w:ind w:left="459" w:hanging="425"/>
              <w:rPr>
                <w:sz w:val="20"/>
                <w:szCs w:val="20"/>
              </w:rPr>
            </w:pPr>
            <w:r w:rsidRPr="000A5A2A">
              <w:rPr>
                <w:sz w:val="20"/>
                <w:szCs w:val="20"/>
              </w:rPr>
              <w:t>Submission of reports to the Chief Health Officer within 35 days after the end of the month; in accordance with Section 144, Private Health Facilities Act 1999 and Section 7, Private Health Facilities Regulation 2000.</w:t>
            </w:r>
            <w:r>
              <w:rPr>
                <w:sz w:val="20"/>
                <w:szCs w:val="20"/>
              </w:rPr>
              <w:t xml:space="preserve"> </w:t>
            </w:r>
            <w:r w:rsidRPr="001B5F83">
              <w:rPr>
                <w:sz w:val="20"/>
                <w:szCs w:val="20"/>
              </w:rPr>
              <w:t>Detailed requirements are prescribed in the Queensland Hospital Admitted Patient Data Collection (QHAPDC), Health Statistics Unit Queensland Health.</w:t>
            </w:r>
          </w:p>
          <w:p w14:paraId="570D302F" w14:textId="77777777" w:rsidR="00CC70A2" w:rsidRDefault="00CC70A2" w:rsidP="00B8262E">
            <w:pPr>
              <w:tabs>
                <w:tab w:val="left" w:pos="426"/>
                <w:tab w:val="left" w:pos="851"/>
                <w:tab w:val="left" w:pos="1418"/>
                <w:tab w:val="left" w:pos="1701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3"/>
                <w:tab w:val="left" w:pos="5529"/>
                <w:tab w:val="left" w:pos="5954"/>
              </w:tabs>
              <w:spacing w:line="240" w:lineRule="auto"/>
              <w:ind w:left="360"/>
              <w:rPr>
                <w:sz w:val="20"/>
                <w:szCs w:val="20"/>
              </w:rPr>
            </w:pPr>
          </w:p>
          <w:p w14:paraId="2FFE58D0" w14:textId="77777777" w:rsidR="00CC70A2" w:rsidRPr="000A5A2A" w:rsidRDefault="00CC70A2" w:rsidP="00B8262E">
            <w:pPr>
              <w:numPr>
                <w:ilvl w:val="0"/>
                <w:numId w:val="34"/>
              </w:numPr>
              <w:tabs>
                <w:tab w:val="left" w:pos="426"/>
                <w:tab w:val="left" w:pos="851"/>
                <w:tab w:val="left" w:pos="1418"/>
                <w:tab w:val="left" w:pos="1701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3"/>
                <w:tab w:val="left" w:pos="5529"/>
                <w:tab w:val="left" w:pos="5954"/>
              </w:tabs>
              <w:spacing w:line="240" w:lineRule="auto"/>
              <w:ind w:left="459" w:hanging="459"/>
              <w:rPr>
                <w:sz w:val="20"/>
                <w:szCs w:val="20"/>
              </w:rPr>
            </w:pPr>
            <w:r w:rsidRPr="000A5A2A">
              <w:rPr>
                <w:sz w:val="20"/>
                <w:szCs w:val="20"/>
              </w:rPr>
              <w:t xml:space="preserve">Provision of Perinatal statistics data to the Chief Executive (the Director-General) within 35 days after the end of the month for every baby born in Queensland; in accordance with the Public Health Act 2005 and Public Health Regulation 2005. </w:t>
            </w:r>
          </w:p>
          <w:p w14:paraId="4BA1DFF4" w14:textId="77777777" w:rsidR="00CC70A2" w:rsidRDefault="00CC70A2" w:rsidP="00B8262E">
            <w:pPr>
              <w:tabs>
                <w:tab w:val="left" w:pos="426"/>
                <w:tab w:val="center" w:pos="2694"/>
              </w:tabs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7F7F314A" w14:textId="77777777" w:rsidR="009A0757" w:rsidRDefault="00CC70A2" w:rsidP="005E66D0">
            <w:pPr>
              <w:tabs>
                <w:tab w:val="left" w:pos="426"/>
                <w:tab w:val="left" w:pos="851"/>
                <w:tab w:val="left" w:pos="1418"/>
                <w:tab w:val="left" w:pos="1701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3"/>
                <w:tab w:val="left" w:pos="5529"/>
                <w:tab w:val="left" w:pos="59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83751">
              <w:rPr>
                <w:sz w:val="20"/>
                <w:szCs w:val="20"/>
              </w:rPr>
              <w:t>elephone</w:t>
            </w:r>
            <w:r w:rsidR="00224DB1" w:rsidRPr="00483751">
              <w:rPr>
                <w:sz w:val="20"/>
                <w:szCs w:val="20"/>
              </w:rPr>
              <w:t>: (</w:t>
            </w:r>
            <w:r w:rsidRPr="00483751">
              <w:rPr>
                <w:sz w:val="20"/>
                <w:szCs w:val="20"/>
              </w:rPr>
              <w:t>07) 3234 18</w:t>
            </w:r>
            <w:r>
              <w:rPr>
                <w:sz w:val="20"/>
                <w:szCs w:val="20"/>
              </w:rPr>
              <w:t>75</w:t>
            </w:r>
          </w:p>
          <w:p w14:paraId="1C197CEB" w14:textId="4D92D181" w:rsidR="00CC70A2" w:rsidRPr="00C975BD" w:rsidRDefault="00CC70A2" w:rsidP="005E66D0">
            <w:pPr>
              <w:tabs>
                <w:tab w:val="left" w:pos="426"/>
                <w:tab w:val="left" w:pos="851"/>
                <w:tab w:val="left" w:pos="1418"/>
                <w:tab w:val="left" w:pos="1701"/>
                <w:tab w:val="left" w:pos="2127"/>
                <w:tab w:val="left" w:pos="2552"/>
                <w:tab w:val="left" w:pos="2977"/>
                <w:tab w:val="left" w:pos="3402"/>
                <w:tab w:val="left" w:pos="3828"/>
                <w:tab w:val="left" w:pos="4253"/>
                <w:tab w:val="left" w:pos="4678"/>
                <w:tab w:val="left" w:pos="5103"/>
                <w:tab w:val="left" w:pos="5529"/>
                <w:tab w:val="left" w:pos="59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5" w:history="1">
              <w:r w:rsidR="00224DB1" w:rsidRPr="00224DB1">
                <w:rPr>
                  <w:color w:val="0F5CA2" w:themeColor="accent1"/>
                  <w:sz w:val="20"/>
                  <w:szCs w:val="20"/>
                  <w:u w:val="single"/>
                </w:rPr>
                <w:t>QHIPSMAIL@health.qld.gov.au</w:t>
              </w:r>
            </w:hyperlink>
            <w:r w:rsidR="00224DB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Website:</w:t>
            </w:r>
            <w:hyperlink r:id="rId16" w:history="1">
              <w:r w:rsidR="00224DB1" w:rsidRPr="005948BE">
                <w:rPr>
                  <w:rStyle w:val="Hyperlink"/>
                  <w:sz w:val="20"/>
                  <w:szCs w:val="20"/>
                </w:rPr>
                <w:t>https</w:t>
              </w:r>
              <w:proofErr w:type="spellEnd"/>
              <w:r w:rsidR="00224DB1" w:rsidRPr="005948BE">
                <w:rPr>
                  <w:rStyle w:val="Hyperlink"/>
                  <w:sz w:val="20"/>
                  <w:szCs w:val="20"/>
                </w:rPr>
                <w:t>://www.health.qld.gov.au/hsu/default.asp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</w:tcPr>
          <w:p w14:paraId="18D9FEB8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7E0D86EC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</w:tcPr>
          <w:p w14:paraId="67FE00C5" w14:textId="77777777" w:rsidR="00CC70A2" w:rsidRPr="00236395" w:rsidRDefault="00CC70A2" w:rsidP="005E66D0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</w:tcPr>
          <w:p w14:paraId="16707B48" w14:textId="77777777" w:rsidR="00CC70A2" w:rsidRPr="00483751" w:rsidRDefault="00CC70A2" w:rsidP="005E66D0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CC70A2" w:rsidRPr="00104F2C" w14:paraId="41976B56" w14:textId="77777777" w:rsidTr="005E66D0">
        <w:tc>
          <w:tcPr>
            <w:tcW w:w="5321" w:type="dxa"/>
            <w:shd w:val="clear" w:color="auto" w:fill="auto"/>
          </w:tcPr>
          <w:p w14:paraId="5F691CDB" w14:textId="77777777" w:rsidR="00CC70A2" w:rsidRPr="00655DF7" w:rsidRDefault="00CC70A2" w:rsidP="005E66D0">
            <w:pPr>
              <w:numPr>
                <w:ilvl w:val="0"/>
                <w:numId w:val="33"/>
              </w:numPr>
              <w:tabs>
                <w:tab w:val="left" w:pos="366"/>
              </w:tabs>
              <w:spacing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655DF7">
              <w:rPr>
                <w:rFonts w:cs="Arial"/>
                <w:sz w:val="20"/>
                <w:szCs w:val="20"/>
              </w:rPr>
              <w:lastRenderedPageBreak/>
              <w:t xml:space="preserve">Confirmation that </w:t>
            </w:r>
            <w:proofErr w:type="gramStart"/>
            <w:r w:rsidRPr="00655DF7">
              <w:rPr>
                <w:rFonts w:cs="Arial"/>
                <w:sz w:val="20"/>
                <w:szCs w:val="20"/>
              </w:rPr>
              <w:t>contact</w:t>
            </w:r>
            <w:proofErr w:type="gramEnd"/>
            <w:r w:rsidRPr="00655DF7">
              <w:rPr>
                <w:rFonts w:cs="Arial"/>
                <w:sz w:val="20"/>
                <w:szCs w:val="20"/>
              </w:rPr>
              <w:t xml:space="preserve"> has been made with </w:t>
            </w:r>
            <w:r>
              <w:rPr>
                <w:rFonts w:cs="Arial"/>
                <w:sz w:val="20"/>
                <w:szCs w:val="20"/>
              </w:rPr>
              <w:t xml:space="preserve">Queensland Health’s </w:t>
            </w:r>
            <w:r w:rsidRPr="00655DF7">
              <w:rPr>
                <w:rFonts w:cs="Arial"/>
                <w:sz w:val="20"/>
                <w:szCs w:val="20"/>
              </w:rPr>
              <w:t xml:space="preserve">Patient Safety and Quality Improvement Services (PSQIS) for the provision of My Care information in accordance with the </w:t>
            </w:r>
            <w:r w:rsidRPr="00655DF7">
              <w:rPr>
                <w:i/>
                <w:iCs/>
              </w:rPr>
              <w:t>Health Transparency Act 2019</w:t>
            </w:r>
            <w:r w:rsidRPr="00655DF7">
              <w:t>.</w:t>
            </w:r>
          </w:p>
          <w:p w14:paraId="5E84E422" w14:textId="77777777" w:rsidR="00CC70A2" w:rsidRPr="00655DF7" w:rsidRDefault="00CC70A2" w:rsidP="005E66D0">
            <w:pPr>
              <w:tabs>
                <w:tab w:val="left" w:pos="366"/>
              </w:tabs>
              <w:spacing w:line="240" w:lineRule="auto"/>
              <w:ind w:left="366"/>
            </w:pPr>
          </w:p>
          <w:p w14:paraId="2B30DFBE" w14:textId="4FE8CBE6" w:rsidR="00CC70A2" w:rsidRPr="00655DF7" w:rsidRDefault="00CC70A2" w:rsidP="005E66D0">
            <w:pPr>
              <w:tabs>
                <w:tab w:val="left" w:pos="36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655DF7">
              <w:rPr>
                <w:rFonts w:cs="Arial"/>
                <w:sz w:val="20"/>
                <w:szCs w:val="20"/>
              </w:rPr>
              <w:t>mail address</w:t>
            </w:r>
            <w:r>
              <w:rPr>
                <w:rFonts w:cs="Arial"/>
                <w:sz w:val="20"/>
                <w:szCs w:val="20"/>
              </w:rPr>
              <w:t>:</w:t>
            </w:r>
            <w:r w:rsidRPr="00655DF7">
              <w:rPr>
                <w:rFonts w:cs="Arial"/>
                <w:sz w:val="20"/>
                <w:szCs w:val="20"/>
              </w:rPr>
              <w:t xml:space="preserve"> </w:t>
            </w:r>
            <w:hyperlink r:id="rId17" w:history="1">
              <w:r w:rsidR="00D87FB3" w:rsidRPr="00DC7CE2">
                <w:rPr>
                  <w:rStyle w:val="Hyperlink"/>
                </w:rPr>
                <w:t>informmycare@health.qld.gov.au</w:t>
              </w:r>
            </w:hyperlink>
            <w:r w:rsidR="00D87FB3">
              <w:t xml:space="preserve">      </w:t>
            </w:r>
          </w:p>
        </w:tc>
        <w:tc>
          <w:tcPr>
            <w:tcW w:w="611" w:type="dxa"/>
            <w:shd w:val="clear" w:color="auto" w:fill="auto"/>
          </w:tcPr>
          <w:p w14:paraId="0D044B60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 w:rsidRPr="00655DF7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DF7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 w:rsidRPr="00655DF7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04" w:type="dxa"/>
            <w:shd w:val="clear" w:color="auto" w:fill="auto"/>
          </w:tcPr>
          <w:p w14:paraId="78CC630F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 w:rsidRPr="00655DF7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DF7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 w:rsidRPr="00655DF7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14" w:type="dxa"/>
            <w:shd w:val="clear" w:color="auto" w:fill="auto"/>
          </w:tcPr>
          <w:p w14:paraId="540137B3" w14:textId="77777777" w:rsidR="00CC70A2" w:rsidRDefault="00CC70A2" w:rsidP="005E66D0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  <w:r w:rsidRPr="00655DF7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DF7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326891">
              <w:rPr>
                <w:rFonts w:cs="Arial"/>
                <w:sz w:val="20"/>
                <w:szCs w:val="16"/>
              </w:rPr>
            </w:r>
            <w:r w:rsidR="00326891">
              <w:rPr>
                <w:rFonts w:cs="Arial"/>
                <w:sz w:val="20"/>
                <w:szCs w:val="16"/>
              </w:rPr>
              <w:fldChar w:fldCharType="separate"/>
            </w:r>
            <w:r w:rsidRPr="00655DF7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3482" w:type="dxa"/>
            <w:shd w:val="clear" w:color="auto" w:fill="auto"/>
          </w:tcPr>
          <w:p w14:paraId="4DC2B49B" w14:textId="77777777" w:rsidR="00CC70A2" w:rsidRPr="00104F2C" w:rsidRDefault="00CC70A2" w:rsidP="005E66D0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CC70A2" w:rsidRPr="00104F2C" w14:paraId="673391BD" w14:textId="77777777" w:rsidTr="005E66D0">
        <w:tc>
          <w:tcPr>
            <w:tcW w:w="5321" w:type="dxa"/>
            <w:shd w:val="clear" w:color="auto" w:fill="auto"/>
          </w:tcPr>
          <w:p w14:paraId="68FD9197" w14:textId="77777777" w:rsidR="00CC70A2" w:rsidRDefault="00CC70A2" w:rsidP="005E66D0">
            <w:pPr>
              <w:numPr>
                <w:ilvl w:val="0"/>
                <w:numId w:val="33"/>
              </w:numPr>
              <w:tabs>
                <w:tab w:val="left" w:pos="366"/>
              </w:tabs>
              <w:spacing w:line="240" w:lineRule="auto"/>
              <w:ind w:left="366" w:hanging="366"/>
              <w:rPr>
                <w:rFonts w:cs="Arial"/>
                <w:sz w:val="20"/>
                <w:szCs w:val="20"/>
              </w:rPr>
            </w:pPr>
            <w:r w:rsidRPr="00655DF7">
              <w:rPr>
                <w:rFonts w:cs="Arial"/>
                <w:sz w:val="20"/>
                <w:szCs w:val="20"/>
              </w:rPr>
              <w:t xml:space="preserve">Confirmation that </w:t>
            </w:r>
            <w:proofErr w:type="gramStart"/>
            <w:r w:rsidRPr="00655DF7">
              <w:rPr>
                <w:rFonts w:cs="Arial"/>
                <w:sz w:val="20"/>
                <w:szCs w:val="20"/>
              </w:rPr>
              <w:t>contact</w:t>
            </w:r>
            <w:proofErr w:type="gramEnd"/>
            <w:r w:rsidRPr="00655DF7">
              <w:rPr>
                <w:rFonts w:cs="Arial"/>
                <w:sz w:val="20"/>
                <w:szCs w:val="20"/>
              </w:rPr>
              <w:t xml:space="preserve"> has been made with</w:t>
            </w:r>
            <w:r>
              <w:rPr>
                <w:rFonts w:cs="Arial"/>
                <w:sz w:val="20"/>
                <w:szCs w:val="20"/>
              </w:rPr>
              <w:t xml:space="preserve"> the Queensland Health’s Water Unit for</w:t>
            </w:r>
          </w:p>
          <w:p w14:paraId="62C73568" w14:textId="77777777" w:rsidR="00CC70A2" w:rsidRDefault="00CC70A2" w:rsidP="005E66D0">
            <w:pPr>
              <w:pStyle w:val="ListParagraph"/>
              <w:numPr>
                <w:ilvl w:val="0"/>
                <w:numId w:val="35"/>
              </w:numPr>
              <w:tabs>
                <w:tab w:val="left" w:pos="36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Provision of contact person/s who will be responsible for the Water Management Plan and for legionella water testing</w:t>
            </w:r>
          </w:p>
          <w:p w14:paraId="0F58B1AC" w14:textId="77777777" w:rsidR="00CC70A2" w:rsidRDefault="00CC70A2" w:rsidP="005E66D0">
            <w:pPr>
              <w:pStyle w:val="ListParagraph"/>
              <w:numPr>
                <w:ilvl w:val="0"/>
                <w:numId w:val="35"/>
              </w:numPr>
              <w:tabs>
                <w:tab w:val="left" w:pos="36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55DF7">
              <w:rPr>
                <w:rFonts w:cs="Arial"/>
                <w:sz w:val="20"/>
                <w:szCs w:val="20"/>
              </w:rPr>
              <w:t>the submission of legionella results</w:t>
            </w:r>
            <w:r>
              <w:rPr>
                <w:rFonts w:cs="Arial"/>
                <w:sz w:val="20"/>
                <w:szCs w:val="20"/>
              </w:rPr>
              <w:t xml:space="preserve"> in accordance with the </w:t>
            </w:r>
            <w:r w:rsidRPr="00AD5CEC">
              <w:rPr>
                <w:rFonts w:cs="Arial"/>
                <w:i/>
                <w:iCs/>
                <w:sz w:val="20"/>
                <w:szCs w:val="20"/>
              </w:rPr>
              <w:t>Public Health Act 2005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8A4D39F" w14:textId="77777777" w:rsidR="00CC70A2" w:rsidRDefault="00CC70A2" w:rsidP="005E66D0">
            <w:pPr>
              <w:tabs>
                <w:tab w:val="left" w:pos="36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 address: </w:t>
            </w:r>
            <w:hyperlink r:id="rId18" w:history="1">
              <w:r>
                <w:rPr>
                  <w:rStyle w:val="Hyperlink"/>
                  <w:lang w:val="en"/>
                </w:rPr>
                <w:t>legionella@health.qld.gov.au</w:t>
              </w:r>
            </w:hyperlink>
          </w:p>
          <w:p w14:paraId="221E498C" w14:textId="77777777" w:rsidR="00CC70A2" w:rsidRPr="00655DF7" w:rsidRDefault="00CC70A2" w:rsidP="005E66D0">
            <w:pPr>
              <w:tabs>
                <w:tab w:val="left" w:pos="36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Website: </w:t>
            </w:r>
            <w:hyperlink r:id="rId19" w:history="1">
              <w:r w:rsidRPr="00F733B3">
                <w:rPr>
                  <w:rStyle w:val="Hyperlink"/>
                  <w:rFonts w:cs="Arial"/>
                  <w:sz w:val="20"/>
                  <w:szCs w:val="20"/>
                </w:rPr>
                <w:t>https://www.health.qld.gov.au/public-health/industry-environment/environment-land-water/water/risk-management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shd w:val="clear" w:color="auto" w:fill="auto"/>
          </w:tcPr>
          <w:p w14:paraId="7EF840AB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14D5E4E6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6CBAF9EF" w14:textId="77777777" w:rsidR="00CC70A2" w:rsidRPr="00655DF7" w:rsidRDefault="00CC70A2" w:rsidP="005E66D0">
            <w:pPr>
              <w:spacing w:after="6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3482" w:type="dxa"/>
            <w:shd w:val="clear" w:color="auto" w:fill="auto"/>
          </w:tcPr>
          <w:p w14:paraId="5C13305F" w14:textId="77777777" w:rsidR="00CC70A2" w:rsidRPr="00104F2C" w:rsidRDefault="00CC70A2" w:rsidP="005E66D0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</w:tbl>
    <w:p w14:paraId="3365D600" w14:textId="77777777" w:rsidR="00325221" w:rsidRDefault="00325221" w:rsidP="00325221">
      <w:pPr>
        <w:spacing w:line="240" w:lineRule="auto"/>
        <w:rPr>
          <w:rFonts w:eastAsiaTheme="minorEastAsia"/>
          <w:b/>
          <w:bCs/>
          <w:color w:val="0F5CA2" w:themeColor="accent1"/>
          <w:kern w:val="21"/>
          <w14:numSpacing w14:val="proportional"/>
        </w:rPr>
      </w:pPr>
    </w:p>
    <w:sectPr w:rsidR="00325221" w:rsidSect="00326891">
      <w:footerReference w:type="default" r:id="rId20"/>
      <w:footerReference w:type="first" r:id="rId21"/>
      <w:type w:val="continuous"/>
      <w:pgSz w:w="11906" w:h="16838" w:code="9"/>
      <w:pgMar w:top="1531" w:right="992" w:bottom="147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D097" w14:textId="77777777" w:rsidR="004321C3" w:rsidRDefault="004321C3" w:rsidP="005655C9">
      <w:pPr>
        <w:spacing w:line="240" w:lineRule="auto"/>
      </w:pPr>
      <w:r>
        <w:separator/>
      </w:r>
    </w:p>
    <w:p w14:paraId="04C8E443" w14:textId="77777777" w:rsidR="004321C3" w:rsidRDefault="004321C3"/>
    <w:p w14:paraId="29E982AF" w14:textId="77777777" w:rsidR="004321C3" w:rsidRDefault="004321C3" w:rsidP="00952B5B"/>
    <w:p w14:paraId="7E472AB8" w14:textId="77777777" w:rsidR="004321C3" w:rsidRDefault="004321C3" w:rsidP="00952B5B"/>
    <w:p w14:paraId="0B3EC910" w14:textId="77777777" w:rsidR="004321C3" w:rsidRDefault="004321C3"/>
    <w:p w14:paraId="02B413CD" w14:textId="77777777" w:rsidR="004321C3" w:rsidRDefault="004321C3"/>
    <w:p w14:paraId="516860A9" w14:textId="77777777" w:rsidR="004321C3" w:rsidRDefault="004321C3"/>
    <w:p w14:paraId="2C510E49" w14:textId="77777777" w:rsidR="004321C3" w:rsidRDefault="004321C3"/>
  </w:endnote>
  <w:endnote w:type="continuationSeparator" w:id="0">
    <w:p w14:paraId="0F4D7FC1" w14:textId="77777777" w:rsidR="004321C3" w:rsidRDefault="004321C3" w:rsidP="005655C9">
      <w:pPr>
        <w:spacing w:line="240" w:lineRule="auto"/>
      </w:pPr>
      <w:r>
        <w:continuationSeparator/>
      </w:r>
    </w:p>
    <w:p w14:paraId="2B2ABD0C" w14:textId="77777777" w:rsidR="004321C3" w:rsidRDefault="004321C3"/>
    <w:p w14:paraId="21A33619" w14:textId="77777777" w:rsidR="004321C3" w:rsidRDefault="004321C3" w:rsidP="00952B5B"/>
    <w:p w14:paraId="0D5F3487" w14:textId="77777777" w:rsidR="004321C3" w:rsidRDefault="004321C3" w:rsidP="00952B5B"/>
    <w:p w14:paraId="186ED18C" w14:textId="77777777" w:rsidR="004321C3" w:rsidRDefault="004321C3"/>
    <w:p w14:paraId="6E69ABAB" w14:textId="77777777" w:rsidR="004321C3" w:rsidRDefault="004321C3"/>
    <w:p w14:paraId="66EBA7B8" w14:textId="77777777" w:rsidR="004321C3" w:rsidRDefault="004321C3"/>
    <w:p w14:paraId="798E2D8F" w14:textId="77777777" w:rsidR="004321C3" w:rsidRDefault="00432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465739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1"/>
      </w:rPr>
    </w:sdtEndPr>
    <w:sdtContent>
      <w:p w14:paraId="5614BF44" w14:textId="0E3B41D1" w:rsidR="00BB0E72" w:rsidRDefault="00BB0E72" w:rsidP="00BB0E7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kern w:val="0"/>
            <w:sz w:val="21"/>
            <w:lang w:val="en-US"/>
            <w14:numSpacing w14:val="default"/>
          </w:rPr>
        </w:pPr>
        <w:r w:rsidRPr="00BB0E72">
          <w:rPr>
            <w:szCs w:val="18"/>
          </w:rPr>
          <w:t>Licence to operate supporting documentation v2</w:t>
        </w:r>
        <w:r w:rsidRPr="00BB0E72">
          <w:rPr>
            <w:szCs w:val="18"/>
          </w:rPr>
          <w:tab/>
          <w:t xml:space="preserve">- </w:t>
        </w:r>
        <w:r w:rsidR="009A0757">
          <w:rPr>
            <w:szCs w:val="18"/>
          </w:rPr>
          <w:t>November 2022</w:t>
        </w:r>
        <w:r w:rsidRPr="00BB0E72">
          <w:rPr>
            <w:szCs w:val="18"/>
          </w:rPr>
          <w:t xml:space="preserve">                                                                             </w:t>
        </w:r>
        <w:r w:rsidRPr="00BB0E72">
          <w:rPr>
            <w:color w:val="7F7F7F" w:themeColor="background1" w:themeShade="7F"/>
            <w:spacing w:val="60"/>
            <w:szCs w:val="18"/>
          </w:rPr>
          <w:t>Page</w:t>
        </w:r>
        <w:r w:rsidRPr="00BB0E72">
          <w:rPr>
            <w:szCs w:val="18"/>
          </w:rPr>
          <w:t xml:space="preserve"> </w:t>
        </w:r>
        <w:r w:rsidRPr="00BB0E72">
          <w:rPr>
            <w:szCs w:val="18"/>
          </w:rPr>
          <w:fldChar w:fldCharType="begin"/>
        </w:r>
        <w:r w:rsidRPr="00BB0E72">
          <w:rPr>
            <w:szCs w:val="18"/>
          </w:rPr>
          <w:instrText xml:space="preserve"> PAGE   \* MERGEFORMAT </w:instrText>
        </w:r>
        <w:r w:rsidRPr="00BB0E72">
          <w:rPr>
            <w:szCs w:val="18"/>
          </w:rPr>
          <w:fldChar w:fldCharType="separate"/>
        </w:r>
        <w:r>
          <w:rPr>
            <w:szCs w:val="18"/>
          </w:rPr>
          <w:t>1</w:t>
        </w:r>
        <w:r w:rsidRPr="00BB0E72">
          <w:rPr>
            <w:b/>
            <w:bCs/>
            <w:noProof/>
            <w:szCs w:val="18"/>
          </w:rPr>
          <w:fldChar w:fldCharType="end"/>
        </w:r>
        <w:r>
          <w:rPr>
            <w:b/>
            <w:bCs/>
          </w:rPr>
          <w:t xml:space="preserve">  </w:t>
        </w:r>
      </w:p>
    </w:sdtContent>
  </w:sdt>
  <w:p w14:paraId="0391ADF2" w14:textId="77777777" w:rsidR="00BB0E72" w:rsidRDefault="00BB0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89475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1"/>
      </w:rPr>
    </w:sdtEndPr>
    <w:sdtContent>
      <w:p w14:paraId="7EAED449" w14:textId="268CEE8F" w:rsidR="00BB0E72" w:rsidRDefault="00BB0E72" w:rsidP="00BB0E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B0E72">
          <w:rPr>
            <w:szCs w:val="18"/>
          </w:rPr>
          <w:t>Licence to operate supporting documentation v2</w:t>
        </w:r>
        <w:r w:rsidRPr="00BB0E72">
          <w:rPr>
            <w:szCs w:val="18"/>
          </w:rPr>
          <w:tab/>
          <w:t xml:space="preserve">- </w:t>
        </w:r>
        <w:r w:rsidR="009A0757">
          <w:rPr>
            <w:szCs w:val="18"/>
          </w:rPr>
          <w:t>November 2022</w:t>
        </w:r>
        <w:r w:rsidRPr="00BB0E72">
          <w:rPr>
            <w:szCs w:val="18"/>
          </w:rPr>
          <w:t xml:space="preserve">                                                                             </w:t>
        </w:r>
        <w:r w:rsidRPr="00BB0E72">
          <w:rPr>
            <w:color w:val="7F7F7F" w:themeColor="background1" w:themeShade="7F"/>
            <w:spacing w:val="60"/>
            <w:szCs w:val="18"/>
          </w:rPr>
          <w:t>Page</w:t>
        </w:r>
        <w:r w:rsidRPr="00BB0E72">
          <w:rPr>
            <w:szCs w:val="18"/>
          </w:rPr>
          <w:t xml:space="preserve"> </w:t>
        </w:r>
        <w:r w:rsidRPr="00BB0E72">
          <w:rPr>
            <w:szCs w:val="18"/>
          </w:rPr>
          <w:fldChar w:fldCharType="begin"/>
        </w:r>
        <w:r w:rsidRPr="00BB0E72">
          <w:rPr>
            <w:szCs w:val="18"/>
          </w:rPr>
          <w:instrText xml:space="preserve"> PAGE   \* MERGEFORMAT </w:instrText>
        </w:r>
        <w:r w:rsidRPr="00BB0E72">
          <w:rPr>
            <w:szCs w:val="18"/>
          </w:rPr>
          <w:fldChar w:fldCharType="separate"/>
        </w:r>
        <w:r w:rsidRPr="00BB0E72">
          <w:rPr>
            <w:b/>
            <w:bCs/>
            <w:noProof/>
            <w:szCs w:val="18"/>
          </w:rPr>
          <w:t>2</w:t>
        </w:r>
        <w:r w:rsidRPr="00BB0E72">
          <w:rPr>
            <w:b/>
            <w:bCs/>
            <w:noProof/>
            <w:szCs w:val="18"/>
          </w:rPr>
          <w:fldChar w:fldCharType="end"/>
        </w:r>
        <w:r>
          <w:rPr>
            <w:b/>
            <w:bCs/>
          </w:rPr>
          <w:t xml:space="preserve">  </w:t>
        </w:r>
      </w:p>
    </w:sdtContent>
  </w:sdt>
  <w:p w14:paraId="2D5961DB" w14:textId="7DB75E6F" w:rsidR="009D3C03" w:rsidRDefault="009D3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8A8F" w14:textId="77777777" w:rsidR="004321C3" w:rsidRPr="00DB3896" w:rsidRDefault="004321C3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3B149313" w14:textId="77777777" w:rsidR="004321C3" w:rsidRDefault="004321C3"/>
    <w:p w14:paraId="1F5B14F3" w14:textId="77777777" w:rsidR="004321C3" w:rsidRDefault="004321C3"/>
    <w:p w14:paraId="043F67FA" w14:textId="77777777" w:rsidR="004321C3" w:rsidRDefault="004321C3"/>
  </w:footnote>
  <w:footnote w:type="continuationSeparator" w:id="0">
    <w:p w14:paraId="6B971F55" w14:textId="77777777" w:rsidR="004321C3" w:rsidRDefault="004321C3" w:rsidP="005655C9">
      <w:pPr>
        <w:spacing w:line="240" w:lineRule="auto"/>
      </w:pPr>
      <w:r>
        <w:continuationSeparator/>
      </w:r>
    </w:p>
    <w:p w14:paraId="1F99ED34" w14:textId="77777777" w:rsidR="004321C3" w:rsidRDefault="004321C3"/>
    <w:p w14:paraId="6F2D97F7" w14:textId="77777777" w:rsidR="004321C3" w:rsidRDefault="004321C3" w:rsidP="00952B5B"/>
    <w:p w14:paraId="432BC1C9" w14:textId="77777777" w:rsidR="004321C3" w:rsidRDefault="004321C3" w:rsidP="00952B5B"/>
    <w:p w14:paraId="00B61AF5" w14:textId="77777777" w:rsidR="004321C3" w:rsidRDefault="004321C3"/>
    <w:p w14:paraId="6534E1CC" w14:textId="77777777" w:rsidR="004321C3" w:rsidRDefault="004321C3"/>
    <w:p w14:paraId="38C7432D" w14:textId="77777777" w:rsidR="004321C3" w:rsidRDefault="004321C3"/>
    <w:p w14:paraId="4F68E226" w14:textId="77777777" w:rsidR="004321C3" w:rsidRDefault="00432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921D62"/>
    <w:multiLevelType w:val="hybridMultilevel"/>
    <w:tmpl w:val="F7B0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CC7"/>
    <w:multiLevelType w:val="multilevel"/>
    <w:tmpl w:val="756ACA22"/>
    <w:styleLink w:val="ListBullet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F5CA2" w:themeColor="accent1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0F5CA2" w:themeColor="accent1"/>
        <w:sz w:val="18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F5CA2" w:themeColor="accen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233B68"/>
    <w:multiLevelType w:val="multilevel"/>
    <w:tmpl w:val="3208D262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4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D577DD"/>
    <w:multiLevelType w:val="hybridMultilevel"/>
    <w:tmpl w:val="EDC2A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A19"/>
    <w:multiLevelType w:val="hybridMultilevel"/>
    <w:tmpl w:val="AEB4D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1AD7"/>
    <w:multiLevelType w:val="multilevel"/>
    <w:tmpl w:val="C7C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C4018"/>
    <w:multiLevelType w:val="multilevel"/>
    <w:tmpl w:val="245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C4F50"/>
    <w:multiLevelType w:val="multilevel"/>
    <w:tmpl w:val="EE4C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06E38"/>
    <w:multiLevelType w:val="multilevel"/>
    <w:tmpl w:val="F0FE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18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40F6C"/>
    <w:multiLevelType w:val="multilevel"/>
    <w:tmpl w:val="C2FE460C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5373390"/>
    <w:multiLevelType w:val="hybridMultilevel"/>
    <w:tmpl w:val="98B84A3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92B5B1E"/>
    <w:multiLevelType w:val="hybridMultilevel"/>
    <w:tmpl w:val="AF88A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44CC9"/>
    <w:multiLevelType w:val="hybridMultilevel"/>
    <w:tmpl w:val="02D4B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BBD7D71"/>
    <w:multiLevelType w:val="hybridMultilevel"/>
    <w:tmpl w:val="461E6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D4F51"/>
    <w:multiLevelType w:val="multilevel"/>
    <w:tmpl w:val="5AC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3029D"/>
    <w:multiLevelType w:val="hybridMultilevel"/>
    <w:tmpl w:val="BE30F2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94328"/>
    <w:multiLevelType w:val="multilevel"/>
    <w:tmpl w:val="C2FE460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48843ED8"/>
    <w:multiLevelType w:val="hybridMultilevel"/>
    <w:tmpl w:val="F5C2D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61BFB"/>
    <w:multiLevelType w:val="hybridMultilevel"/>
    <w:tmpl w:val="81E25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24" w15:restartNumberingAfterBreak="0">
    <w:nsid w:val="544806F4"/>
    <w:multiLevelType w:val="multilevel"/>
    <w:tmpl w:val="10CE0F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5" w15:restartNumberingAfterBreak="0">
    <w:nsid w:val="66D30689"/>
    <w:multiLevelType w:val="hybridMultilevel"/>
    <w:tmpl w:val="CE26F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F7C03"/>
    <w:multiLevelType w:val="multilevel"/>
    <w:tmpl w:val="B61E18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6C624647"/>
    <w:multiLevelType w:val="hybridMultilevel"/>
    <w:tmpl w:val="DF541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A5C73"/>
    <w:multiLevelType w:val="multilevel"/>
    <w:tmpl w:val="C56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772E9"/>
    <w:multiLevelType w:val="multilevel"/>
    <w:tmpl w:val="571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A2819"/>
    <w:multiLevelType w:val="multilevel"/>
    <w:tmpl w:val="398655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1" w15:restartNumberingAfterBreak="0">
    <w:nsid w:val="72C007A7"/>
    <w:multiLevelType w:val="multilevel"/>
    <w:tmpl w:val="663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25010"/>
    <w:multiLevelType w:val="multilevel"/>
    <w:tmpl w:val="398655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 w15:restartNumberingAfterBreak="0">
    <w:nsid w:val="7AE4580B"/>
    <w:multiLevelType w:val="multilevel"/>
    <w:tmpl w:val="C69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FD29C5"/>
    <w:multiLevelType w:val="multilevel"/>
    <w:tmpl w:val="5F4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23"/>
  </w:num>
  <w:num w:numId="6">
    <w:abstractNumId w:val="20"/>
  </w:num>
  <w:num w:numId="7">
    <w:abstractNumId w:val="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18"/>
  </w:num>
  <w:num w:numId="12">
    <w:abstractNumId w:val="34"/>
  </w:num>
  <w:num w:numId="13">
    <w:abstractNumId w:val="26"/>
  </w:num>
  <w:num w:numId="14">
    <w:abstractNumId w:val="20"/>
  </w:num>
  <w:num w:numId="15">
    <w:abstractNumId w:val="7"/>
  </w:num>
  <w:num w:numId="16">
    <w:abstractNumId w:val="10"/>
  </w:num>
  <w:num w:numId="17">
    <w:abstractNumId w:val="31"/>
  </w:num>
  <w:num w:numId="18">
    <w:abstractNumId w:val="1"/>
  </w:num>
  <w:num w:numId="19">
    <w:abstractNumId w:val="17"/>
  </w:num>
  <w:num w:numId="20">
    <w:abstractNumId w:val="8"/>
  </w:num>
  <w:num w:numId="21">
    <w:abstractNumId w:val="33"/>
  </w:num>
  <w:num w:numId="22">
    <w:abstractNumId w:val="2"/>
  </w:num>
  <w:num w:numId="23">
    <w:abstractNumId w:val="15"/>
  </w:num>
  <w:num w:numId="24">
    <w:abstractNumId w:val="32"/>
  </w:num>
  <w:num w:numId="25">
    <w:abstractNumId w:val="28"/>
  </w:num>
  <w:num w:numId="26">
    <w:abstractNumId w:val="30"/>
  </w:num>
  <w:num w:numId="27">
    <w:abstractNumId w:val="20"/>
  </w:num>
  <w:num w:numId="28">
    <w:abstractNumId w:val="22"/>
  </w:num>
  <w:num w:numId="29">
    <w:abstractNumId w:val="14"/>
  </w:num>
  <w:num w:numId="30">
    <w:abstractNumId w:val="3"/>
  </w:num>
  <w:num w:numId="31">
    <w:abstractNumId w:val="6"/>
  </w:num>
  <w:num w:numId="32">
    <w:abstractNumId w:val="19"/>
  </w:num>
  <w:num w:numId="33">
    <w:abstractNumId w:val="25"/>
  </w:num>
  <w:num w:numId="34">
    <w:abstractNumId w:val="21"/>
  </w:num>
  <w:num w:numId="35">
    <w:abstractNumId w:val="13"/>
  </w:num>
  <w:num w:numId="36">
    <w:abstractNumId w:val="9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1E"/>
    <w:rsid w:val="0000006D"/>
    <w:rsid w:val="00002005"/>
    <w:rsid w:val="00002B1B"/>
    <w:rsid w:val="0000330E"/>
    <w:rsid w:val="00004C05"/>
    <w:rsid w:val="000102EE"/>
    <w:rsid w:val="00011ACB"/>
    <w:rsid w:val="00016271"/>
    <w:rsid w:val="00016D57"/>
    <w:rsid w:val="000177FA"/>
    <w:rsid w:val="00020110"/>
    <w:rsid w:val="00020E27"/>
    <w:rsid w:val="00022D7A"/>
    <w:rsid w:val="00022DDB"/>
    <w:rsid w:val="00026134"/>
    <w:rsid w:val="00030AB2"/>
    <w:rsid w:val="000317F2"/>
    <w:rsid w:val="00037360"/>
    <w:rsid w:val="000379C7"/>
    <w:rsid w:val="00040DDB"/>
    <w:rsid w:val="00043CE3"/>
    <w:rsid w:val="00043CFF"/>
    <w:rsid w:val="0004535D"/>
    <w:rsid w:val="000469AB"/>
    <w:rsid w:val="00047071"/>
    <w:rsid w:val="000502D2"/>
    <w:rsid w:val="00050FE6"/>
    <w:rsid w:val="00051E15"/>
    <w:rsid w:val="00054FA5"/>
    <w:rsid w:val="000563EB"/>
    <w:rsid w:val="00056BD6"/>
    <w:rsid w:val="00060860"/>
    <w:rsid w:val="0006379D"/>
    <w:rsid w:val="000641F5"/>
    <w:rsid w:val="00065A54"/>
    <w:rsid w:val="00066B7B"/>
    <w:rsid w:val="00066EE0"/>
    <w:rsid w:val="000712C1"/>
    <w:rsid w:val="00071708"/>
    <w:rsid w:val="00071FE1"/>
    <w:rsid w:val="0007330C"/>
    <w:rsid w:val="00073925"/>
    <w:rsid w:val="00076877"/>
    <w:rsid w:val="000775BA"/>
    <w:rsid w:val="00077EFB"/>
    <w:rsid w:val="00082234"/>
    <w:rsid w:val="00082AE4"/>
    <w:rsid w:val="00082F11"/>
    <w:rsid w:val="000830DD"/>
    <w:rsid w:val="0008374B"/>
    <w:rsid w:val="0008666B"/>
    <w:rsid w:val="00090157"/>
    <w:rsid w:val="00091A60"/>
    <w:rsid w:val="00093BC2"/>
    <w:rsid w:val="000959AD"/>
    <w:rsid w:val="000966DF"/>
    <w:rsid w:val="00096726"/>
    <w:rsid w:val="000970A8"/>
    <w:rsid w:val="00097362"/>
    <w:rsid w:val="00097601"/>
    <w:rsid w:val="0009792A"/>
    <w:rsid w:val="000A06CE"/>
    <w:rsid w:val="000A0A62"/>
    <w:rsid w:val="000A0ACD"/>
    <w:rsid w:val="000A5480"/>
    <w:rsid w:val="000A5C61"/>
    <w:rsid w:val="000A66BF"/>
    <w:rsid w:val="000A71FA"/>
    <w:rsid w:val="000B2BCA"/>
    <w:rsid w:val="000B2D11"/>
    <w:rsid w:val="000B5DD3"/>
    <w:rsid w:val="000B72B4"/>
    <w:rsid w:val="000C0B94"/>
    <w:rsid w:val="000C4228"/>
    <w:rsid w:val="000D154F"/>
    <w:rsid w:val="000D31C5"/>
    <w:rsid w:val="000D3BDA"/>
    <w:rsid w:val="000D6D1D"/>
    <w:rsid w:val="000D7BB0"/>
    <w:rsid w:val="000E1F6E"/>
    <w:rsid w:val="000E4BE8"/>
    <w:rsid w:val="000E4E9D"/>
    <w:rsid w:val="000E68AA"/>
    <w:rsid w:val="000E7FC3"/>
    <w:rsid w:val="000F1ED2"/>
    <w:rsid w:val="000F2801"/>
    <w:rsid w:val="000F3196"/>
    <w:rsid w:val="000F52A2"/>
    <w:rsid w:val="000F52CB"/>
    <w:rsid w:val="000F5D09"/>
    <w:rsid w:val="001010D2"/>
    <w:rsid w:val="00102B00"/>
    <w:rsid w:val="00102FEC"/>
    <w:rsid w:val="0010338A"/>
    <w:rsid w:val="0010463C"/>
    <w:rsid w:val="0011764C"/>
    <w:rsid w:val="001237EC"/>
    <w:rsid w:val="001243D4"/>
    <w:rsid w:val="00124772"/>
    <w:rsid w:val="00130306"/>
    <w:rsid w:val="00130C62"/>
    <w:rsid w:val="00132864"/>
    <w:rsid w:val="00133282"/>
    <w:rsid w:val="0013407C"/>
    <w:rsid w:val="0013440D"/>
    <w:rsid w:val="00134678"/>
    <w:rsid w:val="00134B0A"/>
    <w:rsid w:val="00135CB0"/>
    <w:rsid w:val="00141CD0"/>
    <w:rsid w:val="001426FC"/>
    <w:rsid w:val="00142919"/>
    <w:rsid w:val="00144907"/>
    <w:rsid w:val="00145A23"/>
    <w:rsid w:val="001472B8"/>
    <w:rsid w:val="001504A9"/>
    <w:rsid w:val="00154397"/>
    <w:rsid w:val="0015524D"/>
    <w:rsid w:val="0015656F"/>
    <w:rsid w:val="00161398"/>
    <w:rsid w:val="0016168E"/>
    <w:rsid w:val="00161EB8"/>
    <w:rsid w:val="00166373"/>
    <w:rsid w:val="00166E39"/>
    <w:rsid w:val="001702DA"/>
    <w:rsid w:val="00172DEA"/>
    <w:rsid w:val="00172E0B"/>
    <w:rsid w:val="001736DC"/>
    <w:rsid w:val="001753BD"/>
    <w:rsid w:val="0017599C"/>
    <w:rsid w:val="0018020F"/>
    <w:rsid w:val="0018177F"/>
    <w:rsid w:val="00181AA0"/>
    <w:rsid w:val="00182872"/>
    <w:rsid w:val="00182F3A"/>
    <w:rsid w:val="00183D5E"/>
    <w:rsid w:val="0018418F"/>
    <w:rsid w:val="0018508C"/>
    <w:rsid w:val="0018576B"/>
    <w:rsid w:val="00186009"/>
    <w:rsid w:val="001870E3"/>
    <w:rsid w:val="001876AD"/>
    <w:rsid w:val="0019023A"/>
    <w:rsid w:val="00190AC0"/>
    <w:rsid w:val="00192DEC"/>
    <w:rsid w:val="0019551F"/>
    <w:rsid w:val="001A1C02"/>
    <w:rsid w:val="001A23D2"/>
    <w:rsid w:val="001A265B"/>
    <w:rsid w:val="001A3417"/>
    <w:rsid w:val="001A5624"/>
    <w:rsid w:val="001A57F3"/>
    <w:rsid w:val="001A5B6F"/>
    <w:rsid w:val="001A6159"/>
    <w:rsid w:val="001A7A46"/>
    <w:rsid w:val="001A7C37"/>
    <w:rsid w:val="001B0382"/>
    <w:rsid w:val="001B5203"/>
    <w:rsid w:val="001B71F5"/>
    <w:rsid w:val="001C11EA"/>
    <w:rsid w:val="001C2824"/>
    <w:rsid w:val="001C4AD1"/>
    <w:rsid w:val="001C4B84"/>
    <w:rsid w:val="001C5B76"/>
    <w:rsid w:val="001C6A61"/>
    <w:rsid w:val="001C7CD9"/>
    <w:rsid w:val="001D015E"/>
    <w:rsid w:val="001D060C"/>
    <w:rsid w:val="001D193E"/>
    <w:rsid w:val="001D2562"/>
    <w:rsid w:val="001D2EFF"/>
    <w:rsid w:val="001E03CD"/>
    <w:rsid w:val="001E0619"/>
    <w:rsid w:val="001E0861"/>
    <w:rsid w:val="001E2A17"/>
    <w:rsid w:val="001E548D"/>
    <w:rsid w:val="001E7CCC"/>
    <w:rsid w:val="001F053C"/>
    <w:rsid w:val="001F2B9E"/>
    <w:rsid w:val="001F61DE"/>
    <w:rsid w:val="001F7F46"/>
    <w:rsid w:val="001F7FBC"/>
    <w:rsid w:val="00200718"/>
    <w:rsid w:val="00205C1E"/>
    <w:rsid w:val="002103EC"/>
    <w:rsid w:val="00210870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4DB1"/>
    <w:rsid w:val="0022563B"/>
    <w:rsid w:val="00227774"/>
    <w:rsid w:val="002301B6"/>
    <w:rsid w:val="0023093B"/>
    <w:rsid w:val="002309A1"/>
    <w:rsid w:val="002315D9"/>
    <w:rsid w:val="00235716"/>
    <w:rsid w:val="002373F8"/>
    <w:rsid w:val="00240836"/>
    <w:rsid w:val="00240897"/>
    <w:rsid w:val="0024356D"/>
    <w:rsid w:val="002449FC"/>
    <w:rsid w:val="00245840"/>
    <w:rsid w:val="00250687"/>
    <w:rsid w:val="00252398"/>
    <w:rsid w:val="002548A2"/>
    <w:rsid w:val="0025508A"/>
    <w:rsid w:val="00257CA8"/>
    <w:rsid w:val="0026072D"/>
    <w:rsid w:val="00263060"/>
    <w:rsid w:val="00264468"/>
    <w:rsid w:val="00264ABB"/>
    <w:rsid w:val="0026586D"/>
    <w:rsid w:val="00265B15"/>
    <w:rsid w:val="00267FFD"/>
    <w:rsid w:val="002702A8"/>
    <w:rsid w:val="00272CF9"/>
    <w:rsid w:val="00277858"/>
    <w:rsid w:val="00280EC3"/>
    <w:rsid w:val="00285C8F"/>
    <w:rsid w:val="00285E94"/>
    <w:rsid w:val="00287D05"/>
    <w:rsid w:val="00294E66"/>
    <w:rsid w:val="002952A7"/>
    <w:rsid w:val="002A050A"/>
    <w:rsid w:val="002A05BC"/>
    <w:rsid w:val="002A2C12"/>
    <w:rsid w:val="002A4BB8"/>
    <w:rsid w:val="002A4E88"/>
    <w:rsid w:val="002B20E1"/>
    <w:rsid w:val="002B30A7"/>
    <w:rsid w:val="002B3233"/>
    <w:rsid w:val="002B3AE6"/>
    <w:rsid w:val="002B42C4"/>
    <w:rsid w:val="002B5851"/>
    <w:rsid w:val="002B6AD3"/>
    <w:rsid w:val="002C4863"/>
    <w:rsid w:val="002D09C4"/>
    <w:rsid w:val="002D0FAA"/>
    <w:rsid w:val="002D26DD"/>
    <w:rsid w:val="002D5310"/>
    <w:rsid w:val="002D755A"/>
    <w:rsid w:val="002D7C78"/>
    <w:rsid w:val="002E05C7"/>
    <w:rsid w:val="002E077C"/>
    <w:rsid w:val="002E13DF"/>
    <w:rsid w:val="002E1D7D"/>
    <w:rsid w:val="002E363A"/>
    <w:rsid w:val="002E5BE6"/>
    <w:rsid w:val="002E5E7F"/>
    <w:rsid w:val="002E6B9D"/>
    <w:rsid w:val="002E7170"/>
    <w:rsid w:val="002F37C8"/>
    <w:rsid w:val="002F39CA"/>
    <w:rsid w:val="002F7A0C"/>
    <w:rsid w:val="003002C4"/>
    <w:rsid w:val="003013B1"/>
    <w:rsid w:val="0030150D"/>
    <w:rsid w:val="003018DF"/>
    <w:rsid w:val="00301B58"/>
    <w:rsid w:val="0030374B"/>
    <w:rsid w:val="0030390A"/>
    <w:rsid w:val="00304DEC"/>
    <w:rsid w:val="003078CD"/>
    <w:rsid w:val="00307C5B"/>
    <w:rsid w:val="0031108D"/>
    <w:rsid w:val="00314153"/>
    <w:rsid w:val="00314B98"/>
    <w:rsid w:val="00316B60"/>
    <w:rsid w:val="00316C21"/>
    <w:rsid w:val="00317E0F"/>
    <w:rsid w:val="0032195A"/>
    <w:rsid w:val="00322E9E"/>
    <w:rsid w:val="0032406F"/>
    <w:rsid w:val="00325221"/>
    <w:rsid w:val="00326891"/>
    <w:rsid w:val="003324A5"/>
    <w:rsid w:val="00333D1A"/>
    <w:rsid w:val="0033409F"/>
    <w:rsid w:val="003341F1"/>
    <w:rsid w:val="003353E9"/>
    <w:rsid w:val="0033657E"/>
    <w:rsid w:val="00341F88"/>
    <w:rsid w:val="00344556"/>
    <w:rsid w:val="003448ED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087E"/>
    <w:rsid w:val="00361CE4"/>
    <w:rsid w:val="00362C15"/>
    <w:rsid w:val="00363108"/>
    <w:rsid w:val="00363C54"/>
    <w:rsid w:val="00364062"/>
    <w:rsid w:val="00366069"/>
    <w:rsid w:val="003661B9"/>
    <w:rsid w:val="003670B4"/>
    <w:rsid w:val="0037411B"/>
    <w:rsid w:val="00376393"/>
    <w:rsid w:val="0037703F"/>
    <w:rsid w:val="00387381"/>
    <w:rsid w:val="003878E3"/>
    <w:rsid w:val="00391B81"/>
    <w:rsid w:val="00391D5D"/>
    <w:rsid w:val="003945D4"/>
    <w:rsid w:val="00395EFF"/>
    <w:rsid w:val="003A2B34"/>
    <w:rsid w:val="003A360B"/>
    <w:rsid w:val="003A6203"/>
    <w:rsid w:val="003B056B"/>
    <w:rsid w:val="003B1457"/>
    <w:rsid w:val="003B281D"/>
    <w:rsid w:val="003B5367"/>
    <w:rsid w:val="003B5903"/>
    <w:rsid w:val="003B6431"/>
    <w:rsid w:val="003B7ED7"/>
    <w:rsid w:val="003C6157"/>
    <w:rsid w:val="003C653E"/>
    <w:rsid w:val="003C775C"/>
    <w:rsid w:val="003D2D25"/>
    <w:rsid w:val="003D5CD8"/>
    <w:rsid w:val="003E174B"/>
    <w:rsid w:val="003E2F2A"/>
    <w:rsid w:val="003E5D10"/>
    <w:rsid w:val="003E6DCC"/>
    <w:rsid w:val="003E6F96"/>
    <w:rsid w:val="003F0150"/>
    <w:rsid w:val="003F22F5"/>
    <w:rsid w:val="003F375A"/>
    <w:rsid w:val="003F426C"/>
    <w:rsid w:val="003F7C4D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18E8"/>
    <w:rsid w:val="004321C3"/>
    <w:rsid w:val="0043461D"/>
    <w:rsid w:val="00436443"/>
    <w:rsid w:val="00436F69"/>
    <w:rsid w:val="00437FAB"/>
    <w:rsid w:val="00442878"/>
    <w:rsid w:val="00444053"/>
    <w:rsid w:val="00444C11"/>
    <w:rsid w:val="0044735C"/>
    <w:rsid w:val="00447A4C"/>
    <w:rsid w:val="00451125"/>
    <w:rsid w:val="00460114"/>
    <w:rsid w:val="00460870"/>
    <w:rsid w:val="00461AC3"/>
    <w:rsid w:val="00462408"/>
    <w:rsid w:val="00462C04"/>
    <w:rsid w:val="00462DC3"/>
    <w:rsid w:val="00463275"/>
    <w:rsid w:val="00465093"/>
    <w:rsid w:val="004652CC"/>
    <w:rsid w:val="00465B73"/>
    <w:rsid w:val="00471242"/>
    <w:rsid w:val="004717E7"/>
    <w:rsid w:val="0047373E"/>
    <w:rsid w:val="00474862"/>
    <w:rsid w:val="00474C27"/>
    <w:rsid w:val="00474F7D"/>
    <w:rsid w:val="0047576D"/>
    <w:rsid w:val="00476706"/>
    <w:rsid w:val="004777BE"/>
    <w:rsid w:val="0048181E"/>
    <w:rsid w:val="00482CC3"/>
    <w:rsid w:val="004831D3"/>
    <w:rsid w:val="00483333"/>
    <w:rsid w:val="00484A97"/>
    <w:rsid w:val="00484B06"/>
    <w:rsid w:val="00491848"/>
    <w:rsid w:val="0049429C"/>
    <w:rsid w:val="004945F0"/>
    <w:rsid w:val="00494FA1"/>
    <w:rsid w:val="0049594A"/>
    <w:rsid w:val="0049665A"/>
    <w:rsid w:val="004A027A"/>
    <w:rsid w:val="004A0768"/>
    <w:rsid w:val="004A0D0B"/>
    <w:rsid w:val="004A327A"/>
    <w:rsid w:val="004A6A6C"/>
    <w:rsid w:val="004B047A"/>
    <w:rsid w:val="004B1927"/>
    <w:rsid w:val="004B285B"/>
    <w:rsid w:val="004B3494"/>
    <w:rsid w:val="004C1019"/>
    <w:rsid w:val="004C14B3"/>
    <w:rsid w:val="004C161E"/>
    <w:rsid w:val="004C1786"/>
    <w:rsid w:val="004C2B99"/>
    <w:rsid w:val="004C3D4E"/>
    <w:rsid w:val="004C4449"/>
    <w:rsid w:val="004C4903"/>
    <w:rsid w:val="004C5C78"/>
    <w:rsid w:val="004C6561"/>
    <w:rsid w:val="004D00FF"/>
    <w:rsid w:val="004D066D"/>
    <w:rsid w:val="004D2852"/>
    <w:rsid w:val="004D7EC2"/>
    <w:rsid w:val="004E03A1"/>
    <w:rsid w:val="004E0E5E"/>
    <w:rsid w:val="004E244B"/>
    <w:rsid w:val="004E53C1"/>
    <w:rsid w:val="004E7417"/>
    <w:rsid w:val="004F1C45"/>
    <w:rsid w:val="004F1C97"/>
    <w:rsid w:val="004F4A08"/>
    <w:rsid w:val="004F5EAF"/>
    <w:rsid w:val="00500A17"/>
    <w:rsid w:val="005013EA"/>
    <w:rsid w:val="00505703"/>
    <w:rsid w:val="00506782"/>
    <w:rsid w:val="005075E3"/>
    <w:rsid w:val="00507630"/>
    <w:rsid w:val="00512789"/>
    <w:rsid w:val="00513E2B"/>
    <w:rsid w:val="0051427E"/>
    <w:rsid w:val="005205B2"/>
    <w:rsid w:val="005205B8"/>
    <w:rsid w:val="005206BA"/>
    <w:rsid w:val="00521B45"/>
    <w:rsid w:val="00522CB5"/>
    <w:rsid w:val="00524A14"/>
    <w:rsid w:val="005277E7"/>
    <w:rsid w:val="0053003B"/>
    <w:rsid w:val="00531475"/>
    <w:rsid w:val="00531752"/>
    <w:rsid w:val="00536296"/>
    <w:rsid w:val="00542025"/>
    <w:rsid w:val="0054291C"/>
    <w:rsid w:val="005433C7"/>
    <w:rsid w:val="005439D2"/>
    <w:rsid w:val="00545405"/>
    <w:rsid w:val="0054704A"/>
    <w:rsid w:val="00553A02"/>
    <w:rsid w:val="00555240"/>
    <w:rsid w:val="00555902"/>
    <w:rsid w:val="0056004A"/>
    <w:rsid w:val="0056090C"/>
    <w:rsid w:val="0056129F"/>
    <w:rsid w:val="005619DA"/>
    <w:rsid w:val="005655C9"/>
    <w:rsid w:val="0056678A"/>
    <w:rsid w:val="00571124"/>
    <w:rsid w:val="00573FB1"/>
    <w:rsid w:val="00577AF8"/>
    <w:rsid w:val="00577C0E"/>
    <w:rsid w:val="00580230"/>
    <w:rsid w:val="0058167C"/>
    <w:rsid w:val="00583B8E"/>
    <w:rsid w:val="0058662F"/>
    <w:rsid w:val="005871AA"/>
    <w:rsid w:val="00594935"/>
    <w:rsid w:val="005951EE"/>
    <w:rsid w:val="005965C9"/>
    <w:rsid w:val="00596729"/>
    <w:rsid w:val="005A018A"/>
    <w:rsid w:val="005A0985"/>
    <w:rsid w:val="005A2F1B"/>
    <w:rsid w:val="005A352A"/>
    <w:rsid w:val="005A50DE"/>
    <w:rsid w:val="005A7842"/>
    <w:rsid w:val="005A7C02"/>
    <w:rsid w:val="005B2A03"/>
    <w:rsid w:val="005B3180"/>
    <w:rsid w:val="005B45AB"/>
    <w:rsid w:val="005B496A"/>
    <w:rsid w:val="005B69BA"/>
    <w:rsid w:val="005B6AEB"/>
    <w:rsid w:val="005B7AF0"/>
    <w:rsid w:val="005C1F72"/>
    <w:rsid w:val="005C3AF7"/>
    <w:rsid w:val="005C3B52"/>
    <w:rsid w:val="005C4771"/>
    <w:rsid w:val="005C4AD2"/>
    <w:rsid w:val="005C545A"/>
    <w:rsid w:val="005C5D2A"/>
    <w:rsid w:val="005C7B3A"/>
    <w:rsid w:val="005D4220"/>
    <w:rsid w:val="005D4AFC"/>
    <w:rsid w:val="005D5C48"/>
    <w:rsid w:val="005D6C99"/>
    <w:rsid w:val="005E07EE"/>
    <w:rsid w:val="005E0EC7"/>
    <w:rsid w:val="005E2788"/>
    <w:rsid w:val="005E3D4E"/>
    <w:rsid w:val="005E449B"/>
    <w:rsid w:val="005E473F"/>
    <w:rsid w:val="005E6FF2"/>
    <w:rsid w:val="005F05E4"/>
    <w:rsid w:val="005F1A39"/>
    <w:rsid w:val="005F59D8"/>
    <w:rsid w:val="005F6637"/>
    <w:rsid w:val="005F715E"/>
    <w:rsid w:val="005F7246"/>
    <w:rsid w:val="006002AC"/>
    <w:rsid w:val="0060037E"/>
    <w:rsid w:val="006046AE"/>
    <w:rsid w:val="00605790"/>
    <w:rsid w:val="00606C19"/>
    <w:rsid w:val="00606CAA"/>
    <w:rsid w:val="006148F2"/>
    <w:rsid w:val="00614A68"/>
    <w:rsid w:val="006175F2"/>
    <w:rsid w:val="0061773B"/>
    <w:rsid w:val="00620877"/>
    <w:rsid w:val="00623474"/>
    <w:rsid w:val="0063030B"/>
    <w:rsid w:val="0063075F"/>
    <w:rsid w:val="0063200E"/>
    <w:rsid w:val="006356F5"/>
    <w:rsid w:val="00637F9C"/>
    <w:rsid w:val="006414EF"/>
    <w:rsid w:val="00645F45"/>
    <w:rsid w:val="00651025"/>
    <w:rsid w:val="00653729"/>
    <w:rsid w:val="00655DF7"/>
    <w:rsid w:val="00656B5D"/>
    <w:rsid w:val="00656D97"/>
    <w:rsid w:val="00662BC3"/>
    <w:rsid w:val="00664CE9"/>
    <w:rsid w:val="00665627"/>
    <w:rsid w:val="00665FCD"/>
    <w:rsid w:val="0066702C"/>
    <w:rsid w:val="006728CC"/>
    <w:rsid w:val="006764CE"/>
    <w:rsid w:val="006776EF"/>
    <w:rsid w:val="006808E9"/>
    <w:rsid w:val="00685617"/>
    <w:rsid w:val="006903C5"/>
    <w:rsid w:val="00691D31"/>
    <w:rsid w:val="00691E5B"/>
    <w:rsid w:val="00692472"/>
    <w:rsid w:val="00692F17"/>
    <w:rsid w:val="00693878"/>
    <w:rsid w:val="00697B33"/>
    <w:rsid w:val="006A24A6"/>
    <w:rsid w:val="006A4F86"/>
    <w:rsid w:val="006A630A"/>
    <w:rsid w:val="006A7D09"/>
    <w:rsid w:val="006B2063"/>
    <w:rsid w:val="006B2D01"/>
    <w:rsid w:val="006B3E00"/>
    <w:rsid w:val="006B5ADD"/>
    <w:rsid w:val="006C023D"/>
    <w:rsid w:val="006C3FB6"/>
    <w:rsid w:val="006C64FC"/>
    <w:rsid w:val="006D2FEF"/>
    <w:rsid w:val="006D71D6"/>
    <w:rsid w:val="006D7458"/>
    <w:rsid w:val="006E65B5"/>
    <w:rsid w:val="006F0A87"/>
    <w:rsid w:val="006F3D6C"/>
    <w:rsid w:val="006F77E7"/>
    <w:rsid w:val="00703F15"/>
    <w:rsid w:val="00704524"/>
    <w:rsid w:val="00706283"/>
    <w:rsid w:val="007110FF"/>
    <w:rsid w:val="007135A8"/>
    <w:rsid w:val="00715AC8"/>
    <w:rsid w:val="00721077"/>
    <w:rsid w:val="00724065"/>
    <w:rsid w:val="00726A3A"/>
    <w:rsid w:val="0072754B"/>
    <w:rsid w:val="007321AB"/>
    <w:rsid w:val="00734807"/>
    <w:rsid w:val="0073685D"/>
    <w:rsid w:val="007404B1"/>
    <w:rsid w:val="007415BE"/>
    <w:rsid w:val="0074171F"/>
    <w:rsid w:val="0074585A"/>
    <w:rsid w:val="00746618"/>
    <w:rsid w:val="007501E2"/>
    <w:rsid w:val="00751572"/>
    <w:rsid w:val="00752D75"/>
    <w:rsid w:val="00753E0F"/>
    <w:rsid w:val="00756DF6"/>
    <w:rsid w:val="00757ADC"/>
    <w:rsid w:val="00760F34"/>
    <w:rsid w:val="007614D7"/>
    <w:rsid w:val="00762B5F"/>
    <w:rsid w:val="00762E64"/>
    <w:rsid w:val="00762EB4"/>
    <w:rsid w:val="0076327F"/>
    <w:rsid w:val="007638A8"/>
    <w:rsid w:val="00763927"/>
    <w:rsid w:val="00765ADF"/>
    <w:rsid w:val="00766B20"/>
    <w:rsid w:val="007708DC"/>
    <w:rsid w:val="00772344"/>
    <w:rsid w:val="007723E0"/>
    <w:rsid w:val="00773A97"/>
    <w:rsid w:val="007740B0"/>
    <w:rsid w:val="007741DC"/>
    <w:rsid w:val="00775BA2"/>
    <w:rsid w:val="00780997"/>
    <w:rsid w:val="00780FB2"/>
    <w:rsid w:val="00790036"/>
    <w:rsid w:val="00791250"/>
    <w:rsid w:val="00793E37"/>
    <w:rsid w:val="00795804"/>
    <w:rsid w:val="0079737D"/>
    <w:rsid w:val="007A0895"/>
    <w:rsid w:val="007A4105"/>
    <w:rsid w:val="007B5450"/>
    <w:rsid w:val="007B5953"/>
    <w:rsid w:val="007B66B8"/>
    <w:rsid w:val="007B680B"/>
    <w:rsid w:val="007B7B0D"/>
    <w:rsid w:val="007B7BBC"/>
    <w:rsid w:val="007B7EA6"/>
    <w:rsid w:val="007C041C"/>
    <w:rsid w:val="007C0D8F"/>
    <w:rsid w:val="007C5B21"/>
    <w:rsid w:val="007C71ED"/>
    <w:rsid w:val="007D1EBB"/>
    <w:rsid w:val="007D1F6C"/>
    <w:rsid w:val="007D2DCB"/>
    <w:rsid w:val="007D344A"/>
    <w:rsid w:val="007D6342"/>
    <w:rsid w:val="007E2E42"/>
    <w:rsid w:val="007E350E"/>
    <w:rsid w:val="007E3D08"/>
    <w:rsid w:val="007E42F1"/>
    <w:rsid w:val="007E6348"/>
    <w:rsid w:val="007E6AB3"/>
    <w:rsid w:val="007E7BA4"/>
    <w:rsid w:val="007F0F7F"/>
    <w:rsid w:val="007F282D"/>
    <w:rsid w:val="007F2BC9"/>
    <w:rsid w:val="007F316C"/>
    <w:rsid w:val="007F3642"/>
    <w:rsid w:val="007F6AF7"/>
    <w:rsid w:val="007F76A2"/>
    <w:rsid w:val="007F7C8A"/>
    <w:rsid w:val="008054DC"/>
    <w:rsid w:val="00814859"/>
    <w:rsid w:val="0081579E"/>
    <w:rsid w:val="00817B2D"/>
    <w:rsid w:val="0082074C"/>
    <w:rsid w:val="00821C03"/>
    <w:rsid w:val="00822129"/>
    <w:rsid w:val="0082596D"/>
    <w:rsid w:val="00826178"/>
    <w:rsid w:val="00830281"/>
    <w:rsid w:val="00830414"/>
    <w:rsid w:val="00830FE8"/>
    <w:rsid w:val="00831013"/>
    <w:rsid w:val="00832C6D"/>
    <w:rsid w:val="00836EDD"/>
    <w:rsid w:val="00836F28"/>
    <w:rsid w:val="008377F1"/>
    <w:rsid w:val="00844D32"/>
    <w:rsid w:val="008457C2"/>
    <w:rsid w:val="0084778B"/>
    <w:rsid w:val="00850621"/>
    <w:rsid w:val="0085104D"/>
    <w:rsid w:val="0085247E"/>
    <w:rsid w:val="00852B1F"/>
    <w:rsid w:val="00854337"/>
    <w:rsid w:val="00854FA5"/>
    <w:rsid w:val="008606DE"/>
    <w:rsid w:val="00861F8A"/>
    <w:rsid w:val="0086659A"/>
    <w:rsid w:val="008740C7"/>
    <w:rsid w:val="00874C10"/>
    <w:rsid w:val="00875A14"/>
    <w:rsid w:val="00877276"/>
    <w:rsid w:val="00877AAA"/>
    <w:rsid w:val="00881501"/>
    <w:rsid w:val="0088273C"/>
    <w:rsid w:val="00886873"/>
    <w:rsid w:val="008911F2"/>
    <w:rsid w:val="00893741"/>
    <w:rsid w:val="008A2EA0"/>
    <w:rsid w:val="008A43AC"/>
    <w:rsid w:val="008A51D2"/>
    <w:rsid w:val="008A5C34"/>
    <w:rsid w:val="008A5E96"/>
    <w:rsid w:val="008B122B"/>
    <w:rsid w:val="008B12D7"/>
    <w:rsid w:val="008B2422"/>
    <w:rsid w:val="008B2A5F"/>
    <w:rsid w:val="008B7543"/>
    <w:rsid w:val="008C3FB9"/>
    <w:rsid w:val="008C42A9"/>
    <w:rsid w:val="008C4E8F"/>
    <w:rsid w:val="008C60B7"/>
    <w:rsid w:val="008C6F37"/>
    <w:rsid w:val="008D0B4C"/>
    <w:rsid w:val="008D0CFC"/>
    <w:rsid w:val="008D3200"/>
    <w:rsid w:val="008D35B4"/>
    <w:rsid w:val="008D6BEB"/>
    <w:rsid w:val="008D7AC0"/>
    <w:rsid w:val="008D7D88"/>
    <w:rsid w:val="008E02DE"/>
    <w:rsid w:val="008E0ED4"/>
    <w:rsid w:val="008E2440"/>
    <w:rsid w:val="008E27D9"/>
    <w:rsid w:val="008E4F5D"/>
    <w:rsid w:val="008E796B"/>
    <w:rsid w:val="008F0A07"/>
    <w:rsid w:val="008F0B95"/>
    <w:rsid w:val="008F22E2"/>
    <w:rsid w:val="008F23F9"/>
    <w:rsid w:val="008F2E6C"/>
    <w:rsid w:val="008F5EC7"/>
    <w:rsid w:val="008F62E7"/>
    <w:rsid w:val="008F6391"/>
    <w:rsid w:val="008F6AC2"/>
    <w:rsid w:val="008F7945"/>
    <w:rsid w:val="00900BD9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674F"/>
    <w:rsid w:val="00917AFE"/>
    <w:rsid w:val="00922111"/>
    <w:rsid w:val="0092243E"/>
    <w:rsid w:val="009230D6"/>
    <w:rsid w:val="00923E23"/>
    <w:rsid w:val="0092463B"/>
    <w:rsid w:val="009248CC"/>
    <w:rsid w:val="00924B03"/>
    <w:rsid w:val="00925077"/>
    <w:rsid w:val="00926742"/>
    <w:rsid w:val="009302A2"/>
    <w:rsid w:val="00930FDA"/>
    <w:rsid w:val="00931347"/>
    <w:rsid w:val="009314D8"/>
    <w:rsid w:val="009373DC"/>
    <w:rsid w:val="009449B8"/>
    <w:rsid w:val="00946F75"/>
    <w:rsid w:val="0095158E"/>
    <w:rsid w:val="00951E3A"/>
    <w:rsid w:val="00951FE1"/>
    <w:rsid w:val="00952B5B"/>
    <w:rsid w:val="00956466"/>
    <w:rsid w:val="00962036"/>
    <w:rsid w:val="00965079"/>
    <w:rsid w:val="009707E5"/>
    <w:rsid w:val="00971732"/>
    <w:rsid w:val="00971A04"/>
    <w:rsid w:val="00972649"/>
    <w:rsid w:val="00972803"/>
    <w:rsid w:val="00972F04"/>
    <w:rsid w:val="00973A16"/>
    <w:rsid w:val="00973B9A"/>
    <w:rsid w:val="00973F7E"/>
    <w:rsid w:val="00977881"/>
    <w:rsid w:val="0098031E"/>
    <w:rsid w:val="00980B41"/>
    <w:rsid w:val="00981D63"/>
    <w:rsid w:val="009843B1"/>
    <w:rsid w:val="009848A1"/>
    <w:rsid w:val="00986C92"/>
    <w:rsid w:val="00987F87"/>
    <w:rsid w:val="009905F2"/>
    <w:rsid w:val="0099069A"/>
    <w:rsid w:val="009921FE"/>
    <w:rsid w:val="0099324A"/>
    <w:rsid w:val="00993A55"/>
    <w:rsid w:val="009A0757"/>
    <w:rsid w:val="009A0E3A"/>
    <w:rsid w:val="009A33F6"/>
    <w:rsid w:val="009A3F73"/>
    <w:rsid w:val="009A41DF"/>
    <w:rsid w:val="009A5CAB"/>
    <w:rsid w:val="009A5D04"/>
    <w:rsid w:val="009A5E25"/>
    <w:rsid w:val="009A64F9"/>
    <w:rsid w:val="009B036E"/>
    <w:rsid w:val="009B19B1"/>
    <w:rsid w:val="009B242D"/>
    <w:rsid w:val="009B2A46"/>
    <w:rsid w:val="009B2B2B"/>
    <w:rsid w:val="009B2C68"/>
    <w:rsid w:val="009B2F6F"/>
    <w:rsid w:val="009B3399"/>
    <w:rsid w:val="009B4D59"/>
    <w:rsid w:val="009B5431"/>
    <w:rsid w:val="009B5674"/>
    <w:rsid w:val="009B6AA1"/>
    <w:rsid w:val="009B6F1E"/>
    <w:rsid w:val="009B7720"/>
    <w:rsid w:val="009B7D7E"/>
    <w:rsid w:val="009C0879"/>
    <w:rsid w:val="009C0E89"/>
    <w:rsid w:val="009C211A"/>
    <w:rsid w:val="009C227D"/>
    <w:rsid w:val="009C3E07"/>
    <w:rsid w:val="009C63D2"/>
    <w:rsid w:val="009C77C9"/>
    <w:rsid w:val="009C7AE2"/>
    <w:rsid w:val="009D147F"/>
    <w:rsid w:val="009D210A"/>
    <w:rsid w:val="009D3A3B"/>
    <w:rsid w:val="009D3C03"/>
    <w:rsid w:val="009D7953"/>
    <w:rsid w:val="009D7E5C"/>
    <w:rsid w:val="009E0618"/>
    <w:rsid w:val="009E0BAF"/>
    <w:rsid w:val="009E2527"/>
    <w:rsid w:val="009E4E2F"/>
    <w:rsid w:val="009E4F47"/>
    <w:rsid w:val="009E5AC1"/>
    <w:rsid w:val="009E5C21"/>
    <w:rsid w:val="009E6E83"/>
    <w:rsid w:val="009E7E3A"/>
    <w:rsid w:val="009E7EB6"/>
    <w:rsid w:val="009E7FD8"/>
    <w:rsid w:val="009F0F72"/>
    <w:rsid w:val="009F2873"/>
    <w:rsid w:val="009F2F65"/>
    <w:rsid w:val="009F7F6B"/>
    <w:rsid w:val="00A032DD"/>
    <w:rsid w:val="00A03370"/>
    <w:rsid w:val="00A05570"/>
    <w:rsid w:val="00A05AFA"/>
    <w:rsid w:val="00A10E28"/>
    <w:rsid w:val="00A13B67"/>
    <w:rsid w:val="00A13CEA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80B"/>
    <w:rsid w:val="00A34F13"/>
    <w:rsid w:val="00A35413"/>
    <w:rsid w:val="00A37597"/>
    <w:rsid w:val="00A40C90"/>
    <w:rsid w:val="00A42758"/>
    <w:rsid w:val="00A443A1"/>
    <w:rsid w:val="00A44C56"/>
    <w:rsid w:val="00A44D27"/>
    <w:rsid w:val="00A4654E"/>
    <w:rsid w:val="00A468CF"/>
    <w:rsid w:val="00A46A21"/>
    <w:rsid w:val="00A51104"/>
    <w:rsid w:val="00A5412A"/>
    <w:rsid w:val="00A54C34"/>
    <w:rsid w:val="00A559B2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2EC8"/>
    <w:rsid w:val="00A83771"/>
    <w:rsid w:val="00A83E8E"/>
    <w:rsid w:val="00A87341"/>
    <w:rsid w:val="00A91499"/>
    <w:rsid w:val="00A92031"/>
    <w:rsid w:val="00A937C2"/>
    <w:rsid w:val="00A94734"/>
    <w:rsid w:val="00A95426"/>
    <w:rsid w:val="00A96A6A"/>
    <w:rsid w:val="00A97874"/>
    <w:rsid w:val="00AA0F29"/>
    <w:rsid w:val="00AA1D37"/>
    <w:rsid w:val="00AA46FF"/>
    <w:rsid w:val="00AA4F71"/>
    <w:rsid w:val="00AA7264"/>
    <w:rsid w:val="00AA7419"/>
    <w:rsid w:val="00AA767D"/>
    <w:rsid w:val="00AB0B44"/>
    <w:rsid w:val="00AB1155"/>
    <w:rsid w:val="00AB34FD"/>
    <w:rsid w:val="00AB51C9"/>
    <w:rsid w:val="00AB54B1"/>
    <w:rsid w:val="00AB72BE"/>
    <w:rsid w:val="00AC02B6"/>
    <w:rsid w:val="00AC1DAA"/>
    <w:rsid w:val="00AC2B5B"/>
    <w:rsid w:val="00AC3EB6"/>
    <w:rsid w:val="00AC48A8"/>
    <w:rsid w:val="00AC554A"/>
    <w:rsid w:val="00AC6643"/>
    <w:rsid w:val="00AD0437"/>
    <w:rsid w:val="00AD173E"/>
    <w:rsid w:val="00AD2856"/>
    <w:rsid w:val="00AD33E6"/>
    <w:rsid w:val="00AD49C8"/>
    <w:rsid w:val="00AD5C33"/>
    <w:rsid w:val="00AD5CEC"/>
    <w:rsid w:val="00AD7DB8"/>
    <w:rsid w:val="00AE0F08"/>
    <w:rsid w:val="00AE5B2F"/>
    <w:rsid w:val="00AE66EE"/>
    <w:rsid w:val="00AF3A2A"/>
    <w:rsid w:val="00AF4195"/>
    <w:rsid w:val="00AF5538"/>
    <w:rsid w:val="00AF556F"/>
    <w:rsid w:val="00B008C4"/>
    <w:rsid w:val="00B0119B"/>
    <w:rsid w:val="00B03488"/>
    <w:rsid w:val="00B05E4A"/>
    <w:rsid w:val="00B06EE7"/>
    <w:rsid w:val="00B10931"/>
    <w:rsid w:val="00B11763"/>
    <w:rsid w:val="00B117CB"/>
    <w:rsid w:val="00B11D7B"/>
    <w:rsid w:val="00B128B9"/>
    <w:rsid w:val="00B12F36"/>
    <w:rsid w:val="00B157CE"/>
    <w:rsid w:val="00B17E98"/>
    <w:rsid w:val="00B21EF1"/>
    <w:rsid w:val="00B256B2"/>
    <w:rsid w:val="00B3244F"/>
    <w:rsid w:val="00B35258"/>
    <w:rsid w:val="00B36BC7"/>
    <w:rsid w:val="00B4092C"/>
    <w:rsid w:val="00B40D5E"/>
    <w:rsid w:val="00B449AF"/>
    <w:rsid w:val="00B47CFC"/>
    <w:rsid w:val="00B47FB5"/>
    <w:rsid w:val="00B527FE"/>
    <w:rsid w:val="00B53736"/>
    <w:rsid w:val="00B5616B"/>
    <w:rsid w:val="00B56FCC"/>
    <w:rsid w:val="00B6336D"/>
    <w:rsid w:val="00B67691"/>
    <w:rsid w:val="00B677D2"/>
    <w:rsid w:val="00B7199B"/>
    <w:rsid w:val="00B7210C"/>
    <w:rsid w:val="00B744FF"/>
    <w:rsid w:val="00B8262E"/>
    <w:rsid w:val="00B82E43"/>
    <w:rsid w:val="00B83398"/>
    <w:rsid w:val="00B8356D"/>
    <w:rsid w:val="00B83CE7"/>
    <w:rsid w:val="00B863E8"/>
    <w:rsid w:val="00B90D23"/>
    <w:rsid w:val="00B934CF"/>
    <w:rsid w:val="00B934FA"/>
    <w:rsid w:val="00B93ED4"/>
    <w:rsid w:val="00B95EE9"/>
    <w:rsid w:val="00BA01AC"/>
    <w:rsid w:val="00BA197D"/>
    <w:rsid w:val="00BA4876"/>
    <w:rsid w:val="00BA4EAC"/>
    <w:rsid w:val="00BA572C"/>
    <w:rsid w:val="00BA59BD"/>
    <w:rsid w:val="00BA60B2"/>
    <w:rsid w:val="00BB0361"/>
    <w:rsid w:val="00BB0E72"/>
    <w:rsid w:val="00BB75BB"/>
    <w:rsid w:val="00BC0093"/>
    <w:rsid w:val="00BC5001"/>
    <w:rsid w:val="00BC56E2"/>
    <w:rsid w:val="00BC7C83"/>
    <w:rsid w:val="00BD1B21"/>
    <w:rsid w:val="00BD3835"/>
    <w:rsid w:val="00BD72A8"/>
    <w:rsid w:val="00BE1294"/>
    <w:rsid w:val="00BE1B86"/>
    <w:rsid w:val="00BE215E"/>
    <w:rsid w:val="00BE318F"/>
    <w:rsid w:val="00BE404E"/>
    <w:rsid w:val="00BE436C"/>
    <w:rsid w:val="00BE440A"/>
    <w:rsid w:val="00BE77DC"/>
    <w:rsid w:val="00BF2846"/>
    <w:rsid w:val="00BF2A7D"/>
    <w:rsid w:val="00BF2F8C"/>
    <w:rsid w:val="00BF5BC4"/>
    <w:rsid w:val="00C01388"/>
    <w:rsid w:val="00C01D83"/>
    <w:rsid w:val="00C0205C"/>
    <w:rsid w:val="00C02F45"/>
    <w:rsid w:val="00C044C3"/>
    <w:rsid w:val="00C046F9"/>
    <w:rsid w:val="00C058D0"/>
    <w:rsid w:val="00C05A67"/>
    <w:rsid w:val="00C07530"/>
    <w:rsid w:val="00C104B1"/>
    <w:rsid w:val="00C120CD"/>
    <w:rsid w:val="00C123AE"/>
    <w:rsid w:val="00C137F1"/>
    <w:rsid w:val="00C13D31"/>
    <w:rsid w:val="00C1570F"/>
    <w:rsid w:val="00C1649B"/>
    <w:rsid w:val="00C17DE8"/>
    <w:rsid w:val="00C202BD"/>
    <w:rsid w:val="00C20E45"/>
    <w:rsid w:val="00C22D06"/>
    <w:rsid w:val="00C230FB"/>
    <w:rsid w:val="00C24364"/>
    <w:rsid w:val="00C2449F"/>
    <w:rsid w:val="00C31308"/>
    <w:rsid w:val="00C31903"/>
    <w:rsid w:val="00C34041"/>
    <w:rsid w:val="00C379BA"/>
    <w:rsid w:val="00C406BB"/>
    <w:rsid w:val="00C411F6"/>
    <w:rsid w:val="00C44CC2"/>
    <w:rsid w:val="00C463CB"/>
    <w:rsid w:val="00C47906"/>
    <w:rsid w:val="00C50FF0"/>
    <w:rsid w:val="00C608C6"/>
    <w:rsid w:val="00C62BF6"/>
    <w:rsid w:val="00C665A0"/>
    <w:rsid w:val="00C66D8F"/>
    <w:rsid w:val="00C673B8"/>
    <w:rsid w:val="00C67C57"/>
    <w:rsid w:val="00C71484"/>
    <w:rsid w:val="00C73495"/>
    <w:rsid w:val="00C76224"/>
    <w:rsid w:val="00C76568"/>
    <w:rsid w:val="00C77C7E"/>
    <w:rsid w:val="00C80D01"/>
    <w:rsid w:val="00C871AB"/>
    <w:rsid w:val="00C87562"/>
    <w:rsid w:val="00C90EDA"/>
    <w:rsid w:val="00C932DA"/>
    <w:rsid w:val="00C96983"/>
    <w:rsid w:val="00C975BD"/>
    <w:rsid w:val="00CA3423"/>
    <w:rsid w:val="00CA7AC3"/>
    <w:rsid w:val="00CB05E3"/>
    <w:rsid w:val="00CB1027"/>
    <w:rsid w:val="00CB1C49"/>
    <w:rsid w:val="00CB289F"/>
    <w:rsid w:val="00CB2932"/>
    <w:rsid w:val="00CB3B98"/>
    <w:rsid w:val="00CB3E87"/>
    <w:rsid w:val="00CB538A"/>
    <w:rsid w:val="00CB5CB5"/>
    <w:rsid w:val="00CB64A0"/>
    <w:rsid w:val="00CB6A45"/>
    <w:rsid w:val="00CB6B88"/>
    <w:rsid w:val="00CB7887"/>
    <w:rsid w:val="00CC0B2F"/>
    <w:rsid w:val="00CC1AC6"/>
    <w:rsid w:val="00CC1D4D"/>
    <w:rsid w:val="00CC513A"/>
    <w:rsid w:val="00CC51DE"/>
    <w:rsid w:val="00CC6E55"/>
    <w:rsid w:val="00CC70A2"/>
    <w:rsid w:val="00CC7583"/>
    <w:rsid w:val="00CD2682"/>
    <w:rsid w:val="00CD556F"/>
    <w:rsid w:val="00CD6E74"/>
    <w:rsid w:val="00CD7DBC"/>
    <w:rsid w:val="00CE2F66"/>
    <w:rsid w:val="00CE405F"/>
    <w:rsid w:val="00CE56C0"/>
    <w:rsid w:val="00CE5B34"/>
    <w:rsid w:val="00CE7E1E"/>
    <w:rsid w:val="00CF2A7E"/>
    <w:rsid w:val="00CF2AC9"/>
    <w:rsid w:val="00CF3E36"/>
    <w:rsid w:val="00CF6AFB"/>
    <w:rsid w:val="00CF766A"/>
    <w:rsid w:val="00D01130"/>
    <w:rsid w:val="00D0272D"/>
    <w:rsid w:val="00D03115"/>
    <w:rsid w:val="00D0615B"/>
    <w:rsid w:val="00D06206"/>
    <w:rsid w:val="00D07C77"/>
    <w:rsid w:val="00D10DD7"/>
    <w:rsid w:val="00D13EAF"/>
    <w:rsid w:val="00D14E99"/>
    <w:rsid w:val="00D16EA3"/>
    <w:rsid w:val="00D16F4F"/>
    <w:rsid w:val="00D17033"/>
    <w:rsid w:val="00D171B3"/>
    <w:rsid w:val="00D17773"/>
    <w:rsid w:val="00D2083F"/>
    <w:rsid w:val="00D20CB3"/>
    <w:rsid w:val="00D228BB"/>
    <w:rsid w:val="00D22C9C"/>
    <w:rsid w:val="00D23B84"/>
    <w:rsid w:val="00D244C0"/>
    <w:rsid w:val="00D27A48"/>
    <w:rsid w:val="00D27CB8"/>
    <w:rsid w:val="00D311D8"/>
    <w:rsid w:val="00D313E4"/>
    <w:rsid w:val="00D3185F"/>
    <w:rsid w:val="00D35386"/>
    <w:rsid w:val="00D43891"/>
    <w:rsid w:val="00D43A52"/>
    <w:rsid w:val="00D43C2F"/>
    <w:rsid w:val="00D44304"/>
    <w:rsid w:val="00D44308"/>
    <w:rsid w:val="00D4442B"/>
    <w:rsid w:val="00D449B2"/>
    <w:rsid w:val="00D4579D"/>
    <w:rsid w:val="00D45B89"/>
    <w:rsid w:val="00D469D4"/>
    <w:rsid w:val="00D473F1"/>
    <w:rsid w:val="00D47773"/>
    <w:rsid w:val="00D5173A"/>
    <w:rsid w:val="00D54510"/>
    <w:rsid w:val="00D54DCF"/>
    <w:rsid w:val="00D555E9"/>
    <w:rsid w:val="00D568C2"/>
    <w:rsid w:val="00D60542"/>
    <w:rsid w:val="00D60AF1"/>
    <w:rsid w:val="00D62D4E"/>
    <w:rsid w:val="00D62DA7"/>
    <w:rsid w:val="00D635C0"/>
    <w:rsid w:val="00D641D8"/>
    <w:rsid w:val="00D67089"/>
    <w:rsid w:val="00D67770"/>
    <w:rsid w:val="00D707FE"/>
    <w:rsid w:val="00D72439"/>
    <w:rsid w:val="00D76DB7"/>
    <w:rsid w:val="00D82B75"/>
    <w:rsid w:val="00D84212"/>
    <w:rsid w:val="00D851C4"/>
    <w:rsid w:val="00D85227"/>
    <w:rsid w:val="00D87FB3"/>
    <w:rsid w:val="00D90EB7"/>
    <w:rsid w:val="00D924B8"/>
    <w:rsid w:val="00D96285"/>
    <w:rsid w:val="00D97072"/>
    <w:rsid w:val="00DA3CB5"/>
    <w:rsid w:val="00DA5A1A"/>
    <w:rsid w:val="00DB019A"/>
    <w:rsid w:val="00DB0A95"/>
    <w:rsid w:val="00DB0C46"/>
    <w:rsid w:val="00DB0E5A"/>
    <w:rsid w:val="00DB1D3D"/>
    <w:rsid w:val="00DB3896"/>
    <w:rsid w:val="00DB6142"/>
    <w:rsid w:val="00DB7614"/>
    <w:rsid w:val="00DB7647"/>
    <w:rsid w:val="00DC16F3"/>
    <w:rsid w:val="00DC2FD2"/>
    <w:rsid w:val="00DC4C59"/>
    <w:rsid w:val="00DC5219"/>
    <w:rsid w:val="00DC7342"/>
    <w:rsid w:val="00DD1908"/>
    <w:rsid w:val="00DD2D88"/>
    <w:rsid w:val="00DD3033"/>
    <w:rsid w:val="00DD56C5"/>
    <w:rsid w:val="00DD6113"/>
    <w:rsid w:val="00DD6887"/>
    <w:rsid w:val="00DD6C40"/>
    <w:rsid w:val="00DE0DF5"/>
    <w:rsid w:val="00DE10FD"/>
    <w:rsid w:val="00DE21EB"/>
    <w:rsid w:val="00DE2967"/>
    <w:rsid w:val="00DF0003"/>
    <w:rsid w:val="00DF0A17"/>
    <w:rsid w:val="00DF0CF1"/>
    <w:rsid w:val="00DF1528"/>
    <w:rsid w:val="00DF3417"/>
    <w:rsid w:val="00DF3509"/>
    <w:rsid w:val="00E03B05"/>
    <w:rsid w:val="00E03DBE"/>
    <w:rsid w:val="00E05577"/>
    <w:rsid w:val="00E056C0"/>
    <w:rsid w:val="00E10E87"/>
    <w:rsid w:val="00E11334"/>
    <w:rsid w:val="00E13C66"/>
    <w:rsid w:val="00E14267"/>
    <w:rsid w:val="00E21AD6"/>
    <w:rsid w:val="00E24303"/>
    <w:rsid w:val="00E250DF"/>
    <w:rsid w:val="00E262ED"/>
    <w:rsid w:val="00E268B7"/>
    <w:rsid w:val="00E273FF"/>
    <w:rsid w:val="00E307D8"/>
    <w:rsid w:val="00E4144B"/>
    <w:rsid w:val="00E431E8"/>
    <w:rsid w:val="00E44136"/>
    <w:rsid w:val="00E459DF"/>
    <w:rsid w:val="00E45D35"/>
    <w:rsid w:val="00E52162"/>
    <w:rsid w:val="00E5262D"/>
    <w:rsid w:val="00E53CCC"/>
    <w:rsid w:val="00E54CBA"/>
    <w:rsid w:val="00E54DBD"/>
    <w:rsid w:val="00E56634"/>
    <w:rsid w:val="00E568AC"/>
    <w:rsid w:val="00E57CAA"/>
    <w:rsid w:val="00E61BF9"/>
    <w:rsid w:val="00E62302"/>
    <w:rsid w:val="00E646DE"/>
    <w:rsid w:val="00E6674B"/>
    <w:rsid w:val="00E67B0E"/>
    <w:rsid w:val="00E729DD"/>
    <w:rsid w:val="00E7314E"/>
    <w:rsid w:val="00E77388"/>
    <w:rsid w:val="00E8041F"/>
    <w:rsid w:val="00E81624"/>
    <w:rsid w:val="00E8346E"/>
    <w:rsid w:val="00E83CA8"/>
    <w:rsid w:val="00E851C1"/>
    <w:rsid w:val="00E85670"/>
    <w:rsid w:val="00E857D6"/>
    <w:rsid w:val="00E90298"/>
    <w:rsid w:val="00E92A10"/>
    <w:rsid w:val="00E932E3"/>
    <w:rsid w:val="00E969E3"/>
    <w:rsid w:val="00EA032A"/>
    <w:rsid w:val="00EA0C00"/>
    <w:rsid w:val="00EA1274"/>
    <w:rsid w:val="00EA1417"/>
    <w:rsid w:val="00EA3D1D"/>
    <w:rsid w:val="00EA468C"/>
    <w:rsid w:val="00EA4D0D"/>
    <w:rsid w:val="00EA5448"/>
    <w:rsid w:val="00EA54CD"/>
    <w:rsid w:val="00EA5530"/>
    <w:rsid w:val="00EA62BE"/>
    <w:rsid w:val="00EA665A"/>
    <w:rsid w:val="00EA6CB0"/>
    <w:rsid w:val="00EA7587"/>
    <w:rsid w:val="00EA7E04"/>
    <w:rsid w:val="00EB038C"/>
    <w:rsid w:val="00EB08B0"/>
    <w:rsid w:val="00EB0AD5"/>
    <w:rsid w:val="00EB0EA5"/>
    <w:rsid w:val="00EB1B9D"/>
    <w:rsid w:val="00EB25A4"/>
    <w:rsid w:val="00EB3319"/>
    <w:rsid w:val="00EB3794"/>
    <w:rsid w:val="00EB618E"/>
    <w:rsid w:val="00EB7F8E"/>
    <w:rsid w:val="00EC23A5"/>
    <w:rsid w:val="00EC2F29"/>
    <w:rsid w:val="00EC4A02"/>
    <w:rsid w:val="00EC5C9C"/>
    <w:rsid w:val="00ED1EEA"/>
    <w:rsid w:val="00ED3EEE"/>
    <w:rsid w:val="00EE1379"/>
    <w:rsid w:val="00EE1B66"/>
    <w:rsid w:val="00EE265E"/>
    <w:rsid w:val="00EF3ABA"/>
    <w:rsid w:val="00EF3C10"/>
    <w:rsid w:val="00EF3E95"/>
    <w:rsid w:val="00EF7276"/>
    <w:rsid w:val="00EF7552"/>
    <w:rsid w:val="00F03A86"/>
    <w:rsid w:val="00F048B4"/>
    <w:rsid w:val="00F04F1C"/>
    <w:rsid w:val="00F06ABD"/>
    <w:rsid w:val="00F07BE4"/>
    <w:rsid w:val="00F13769"/>
    <w:rsid w:val="00F138F9"/>
    <w:rsid w:val="00F1485D"/>
    <w:rsid w:val="00F1781F"/>
    <w:rsid w:val="00F20276"/>
    <w:rsid w:val="00F21C0B"/>
    <w:rsid w:val="00F223F7"/>
    <w:rsid w:val="00F224BC"/>
    <w:rsid w:val="00F23181"/>
    <w:rsid w:val="00F244E9"/>
    <w:rsid w:val="00F3079B"/>
    <w:rsid w:val="00F31444"/>
    <w:rsid w:val="00F31BDB"/>
    <w:rsid w:val="00F32A60"/>
    <w:rsid w:val="00F33DCC"/>
    <w:rsid w:val="00F350C7"/>
    <w:rsid w:val="00F42EEC"/>
    <w:rsid w:val="00F459D4"/>
    <w:rsid w:val="00F46F9F"/>
    <w:rsid w:val="00F47102"/>
    <w:rsid w:val="00F51FF4"/>
    <w:rsid w:val="00F544D8"/>
    <w:rsid w:val="00F60ED0"/>
    <w:rsid w:val="00F6108D"/>
    <w:rsid w:val="00F63D14"/>
    <w:rsid w:val="00F6691F"/>
    <w:rsid w:val="00F677F4"/>
    <w:rsid w:val="00F67A7E"/>
    <w:rsid w:val="00F70158"/>
    <w:rsid w:val="00F70E9D"/>
    <w:rsid w:val="00F713E1"/>
    <w:rsid w:val="00F724C6"/>
    <w:rsid w:val="00F750A6"/>
    <w:rsid w:val="00F772AD"/>
    <w:rsid w:val="00F80A60"/>
    <w:rsid w:val="00F823F2"/>
    <w:rsid w:val="00F83225"/>
    <w:rsid w:val="00F83EF8"/>
    <w:rsid w:val="00F843E4"/>
    <w:rsid w:val="00F84F01"/>
    <w:rsid w:val="00F86194"/>
    <w:rsid w:val="00F90608"/>
    <w:rsid w:val="00F90E97"/>
    <w:rsid w:val="00F914C5"/>
    <w:rsid w:val="00F915ED"/>
    <w:rsid w:val="00F95B74"/>
    <w:rsid w:val="00F96B00"/>
    <w:rsid w:val="00F9792A"/>
    <w:rsid w:val="00FA12CD"/>
    <w:rsid w:val="00FA1FD6"/>
    <w:rsid w:val="00FA330E"/>
    <w:rsid w:val="00FA3640"/>
    <w:rsid w:val="00FA4298"/>
    <w:rsid w:val="00FA5B33"/>
    <w:rsid w:val="00FA7309"/>
    <w:rsid w:val="00FB0197"/>
    <w:rsid w:val="00FB05E5"/>
    <w:rsid w:val="00FB0A93"/>
    <w:rsid w:val="00FB3478"/>
    <w:rsid w:val="00FB3F55"/>
    <w:rsid w:val="00FB5F87"/>
    <w:rsid w:val="00FB75E2"/>
    <w:rsid w:val="00FB7898"/>
    <w:rsid w:val="00FC0730"/>
    <w:rsid w:val="00FC1E89"/>
    <w:rsid w:val="00FC293D"/>
    <w:rsid w:val="00FC6E71"/>
    <w:rsid w:val="00FC72D0"/>
    <w:rsid w:val="00FD12A8"/>
    <w:rsid w:val="00FD19C7"/>
    <w:rsid w:val="00FD2EBA"/>
    <w:rsid w:val="00FD39E8"/>
    <w:rsid w:val="00FD4ADA"/>
    <w:rsid w:val="00FD54F1"/>
    <w:rsid w:val="00FD5666"/>
    <w:rsid w:val="00FD5BD8"/>
    <w:rsid w:val="00FE25C5"/>
    <w:rsid w:val="00FE2BDF"/>
    <w:rsid w:val="00FE4A21"/>
    <w:rsid w:val="00FE5B25"/>
    <w:rsid w:val="00FE661F"/>
    <w:rsid w:val="00FE7855"/>
    <w:rsid w:val="00FF023A"/>
    <w:rsid w:val="00FF09FA"/>
    <w:rsid w:val="00FF0A14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0F8181"/>
  <w14:discardImageEditingData/>
  <w14:defaultImageDpi w14:val="330"/>
  <w15:chartTrackingRefBased/>
  <w15:docId w15:val="{E7ABA758-EF90-4CAB-AD5D-FB3D644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2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39"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39"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customStyle="1" w:styleId="TableTextLeftCharChar">
    <w:name w:val="Table Text Left Char Char"/>
    <w:basedOn w:val="DefaultParagraphFont"/>
    <w:link w:val="TableTextLeft"/>
    <w:locked/>
    <w:rsid w:val="00451125"/>
    <w:rPr>
      <w:rFonts w:ascii="Arial" w:hAnsi="Arial" w:cs="Arial"/>
    </w:rPr>
  </w:style>
  <w:style w:type="paragraph" w:customStyle="1" w:styleId="TableTextLeft">
    <w:name w:val="Table Text Left"/>
    <w:basedOn w:val="Normal"/>
    <w:link w:val="TableTextLeftCharChar"/>
    <w:rsid w:val="00451125"/>
    <w:pPr>
      <w:spacing w:before="60" w:after="40" w:line="240" w:lineRule="auto"/>
    </w:pPr>
    <w:rPr>
      <w:rFonts w:ascii="Arial" w:hAnsi="Arial" w:cs="Arial"/>
      <w:lang w:val="en-AU"/>
    </w:rPr>
  </w:style>
  <w:style w:type="paragraph" w:customStyle="1" w:styleId="TableHeadingLeft-White">
    <w:name w:val="Table Heading Left - White"/>
    <w:basedOn w:val="Normal"/>
    <w:rsid w:val="00451125"/>
    <w:pPr>
      <w:spacing w:before="60" w:after="40" w:line="240" w:lineRule="auto"/>
    </w:pPr>
    <w:rPr>
      <w:rFonts w:ascii="Arial" w:hAnsi="Arial" w:cs="Arial"/>
      <w:b/>
      <w:bCs/>
      <w:color w:val="FFFFFF"/>
      <w:sz w:val="20"/>
      <w:szCs w:val="20"/>
      <w:lang w:val="en-AU"/>
    </w:rPr>
  </w:style>
  <w:style w:type="paragraph" w:customStyle="1" w:styleId="Table">
    <w:name w:val="Table"/>
    <w:basedOn w:val="Normal"/>
    <w:rsid w:val="00451125"/>
    <w:pPr>
      <w:spacing w:before="60" w:after="40" w:line="240" w:lineRule="auto"/>
    </w:pPr>
    <w:rPr>
      <w:rFonts w:ascii="Arial" w:hAnsi="Arial" w:cs="Arial"/>
      <w:color w:val="auto"/>
      <w:sz w:val="18"/>
      <w:szCs w:val="18"/>
      <w:lang w:val="en-AU" w:eastAsia="zh-CN"/>
    </w:rPr>
  </w:style>
  <w:style w:type="paragraph" w:customStyle="1" w:styleId="Default">
    <w:name w:val="Default"/>
    <w:rsid w:val="003C653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E64"/>
    <w:rPr>
      <w:sz w:val="16"/>
      <w:szCs w:val="16"/>
    </w:rPr>
  </w:style>
  <w:style w:type="character" w:customStyle="1" w:styleId="normaltextrun">
    <w:name w:val="normaltextrun"/>
    <w:basedOn w:val="DefaultParagraphFont"/>
    <w:rsid w:val="00691E5B"/>
  </w:style>
  <w:style w:type="numbering" w:customStyle="1" w:styleId="ListBullets">
    <w:name w:val="List_Bullets"/>
    <w:uiPriority w:val="99"/>
    <w:rsid w:val="00CA3423"/>
    <w:pPr>
      <w:numPr>
        <w:numId w:val="22"/>
      </w:numPr>
    </w:pPr>
  </w:style>
  <w:style w:type="character" w:styleId="Emphasis">
    <w:name w:val="Emphasis"/>
    <w:basedOn w:val="DefaultParagraphFont"/>
    <w:uiPriority w:val="20"/>
    <w:qFormat/>
    <w:rsid w:val="00520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47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egionella@health.qld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rmmycare@health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qld.gov.au/hsu/default.a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HIPSMAIL@health.qld.gov.au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health.qld.gov.au/public-health/industry-environment/environment-land-water/water/risk-managemen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alth.qld.gov.au/public-health/industry-environment/environment-land-water/water/risk-manag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5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31D7CD0270246BB96D43436642DC8" ma:contentTypeVersion="4" ma:contentTypeDescription="Create a new document." ma:contentTypeScope="" ma:versionID="ea43340d55f9b00c9f93036339ffaacd">
  <xsd:schema xmlns:xsd="http://www.w3.org/2001/XMLSchema" xmlns:xs="http://www.w3.org/2001/XMLSchema" xmlns:p="http://schemas.microsoft.com/office/2006/metadata/properties" xmlns:ns3="9b32bd37-911a-4b00-a77f-22c8dd1e8c67" targetNamespace="http://schemas.microsoft.com/office/2006/metadata/properties" ma:root="true" ma:fieldsID="dee25bac551b937706189a7ad642e7cd" ns3:_="">
    <xsd:import namespace="9b32bd37-911a-4b00-a77f-22c8dd1e8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bd37-911a-4b00-a77f-22c8dd1e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6E19A-B4BA-439A-8B05-21EA6F573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4B3E0-95A1-4DF6-AC49-6733C74C5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8EEDFF-2AE6-4CD5-8A08-64997529C9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6.xml><?xml version="1.0" encoding="utf-8"?>
<ds:datastoreItem xmlns:ds="http://schemas.openxmlformats.org/officeDocument/2006/customXml" ds:itemID="{36B768B2-7A0D-477B-BA35-F95C542C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2bd37-911a-4b00-a77f-22c8dd1e8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587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Health Regulation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Health Regulation</dc:title>
  <dc:subject>Supporting documentation - application for a licence to operate</dc:subject>
  <dc:creator>Jo Dower, Private Health Regulation Unit, CMO&amp;HRB, Prevention Division</dc:creator>
  <cp:keywords>Private Health Regulation, New Facilities checklist</cp:keywords>
  <dc:description/>
  <cp:lastModifiedBy>Catherine Dwyer</cp:lastModifiedBy>
  <cp:revision>4</cp:revision>
  <dcterms:created xsi:type="dcterms:W3CDTF">2022-11-04T04:28:00Z</dcterms:created>
  <dcterms:modified xsi:type="dcterms:W3CDTF">2022-11-04T05:55:00Z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0x010100DF031D7CD0270246BB96D43436642DC8</vt:lpwstr>
  </property>
</Properties>
</file>