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35655858"/>
        <w:docPartObj>
          <w:docPartGallery w:val="Cover Pages"/>
          <w:docPartUnique/>
        </w:docPartObj>
      </w:sdtPr>
      <w:sdtEndPr>
        <w:rPr>
          <w:noProof/>
          <w:sz w:val="2"/>
          <w:szCs w:val="2"/>
        </w:rPr>
      </w:sdtEndPr>
      <w:sdtContent>
        <w:p w14:paraId="5BFB5B0C" w14:textId="77777777" w:rsidR="009E0618" w:rsidRPr="002134C7" w:rsidRDefault="009E0618" w:rsidP="007968BB">
          <w:r w:rsidRPr="003E6DCC">
            <w:rPr>
              <w:noProof/>
              <w:color w:val="0F5CA2" w:themeColor="accent1"/>
              <w:sz w:val="36"/>
              <w:szCs w:val="36"/>
            </w:rPr>
            <w:drawing>
              <wp:anchor distT="0" distB="0" distL="114300" distR="114300" simplePos="0" relativeHeight="251710464" behindDoc="1" locked="0" layoutInCell="1" allowOverlap="1" wp14:anchorId="19273A55" wp14:editId="10F58F65">
                <wp:simplePos x="0" y="0"/>
                <wp:positionH relativeFrom="column">
                  <wp:posOffset>-1010512</wp:posOffset>
                </wp:positionH>
                <wp:positionV relativeFrom="page">
                  <wp:posOffset>-52041</wp:posOffset>
                </wp:positionV>
                <wp:extent cx="7593798" cy="10763461"/>
                <wp:effectExtent l="0" t="0" r="7620" b="0"/>
                <wp:wrapNone/>
                <wp:docPr id="12" name="Picture 12" descr="\\Mac\Home\Desktop\Covers\QH - A4 Cover - No Image - 297x210 - 3mm Bl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Covers\QH - A4 Cover - No Image - 297x210 - 3mm Bleed.png"/>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7601247" cy="1077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B98B" w14:textId="77777777" w:rsidR="009E0618" w:rsidRDefault="009E0618">
          <w:pPr>
            <w:spacing w:line="264" w:lineRule="auto"/>
            <w:rPr>
              <w:noProof/>
              <w:sz w:val="2"/>
              <w:szCs w:val="2"/>
            </w:rPr>
          </w:pPr>
          <w:r w:rsidRPr="003E6DCC">
            <w:rPr>
              <w:noProof/>
              <w:color w:val="0F5CA2" w:themeColor="accent1"/>
              <w:sz w:val="36"/>
              <w:szCs w:val="36"/>
            </w:rPr>
            <mc:AlternateContent>
              <mc:Choice Requires="wps">
                <w:drawing>
                  <wp:anchor distT="45720" distB="45720" distL="114300" distR="114300" simplePos="0" relativeHeight="251711488" behindDoc="0" locked="0" layoutInCell="1" allowOverlap="1" wp14:anchorId="378AD83B" wp14:editId="3815F423">
                    <wp:simplePos x="0" y="0"/>
                    <wp:positionH relativeFrom="column">
                      <wp:posOffset>191770</wp:posOffset>
                    </wp:positionH>
                    <wp:positionV relativeFrom="page">
                      <wp:posOffset>1716405</wp:posOffset>
                    </wp:positionV>
                    <wp:extent cx="4933950" cy="311340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113405"/>
                            </a:xfrm>
                            <a:prstGeom prst="rect">
                              <a:avLst/>
                            </a:prstGeom>
                            <a:noFill/>
                            <a:ln w="9525">
                              <a:noFill/>
                              <a:miter lim="800000"/>
                              <a:headEnd/>
                              <a:tailEnd/>
                            </a:ln>
                          </wps:spPr>
                          <wps:txbx>
                            <w:txbxContent>
                              <w:p w14:paraId="696093DF" w14:textId="77777777" w:rsidR="005E77E0" w:rsidRDefault="006B48CA" w:rsidP="00EF750F">
                                <w:pPr>
                                  <w:pStyle w:val="Title"/>
                                </w:pPr>
                                <w:r w:rsidRPr="00EF750F">
                                  <w:t xml:space="preserve">Recommendations for the prevention of infection in </w:t>
                                </w:r>
                              </w:p>
                              <w:p w14:paraId="7C023EED" w14:textId="3D43B416" w:rsidR="006B48CA" w:rsidRDefault="006B48CA" w:rsidP="00EF750F">
                                <w:pPr>
                                  <w:pStyle w:val="Title"/>
                                </w:pPr>
                                <w:bookmarkStart w:id="0" w:name="_GoBack"/>
                                <w:bookmarkEnd w:id="0"/>
                                <w:r w:rsidRPr="00EF750F">
                                  <w:t>intra-vascular device</w:t>
                                </w:r>
                                <w:r>
                                  <w:t>s</w:t>
                                </w:r>
                              </w:p>
                              <w:p w14:paraId="7D34FF82" w14:textId="02E5C5C6" w:rsidR="006B48CA" w:rsidRDefault="005159B5" w:rsidP="00EF750F">
                                <w:pPr>
                                  <w:pStyle w:val="Title"/>
                                  <w:rPr>
                                    <w:rStyle w:val="SubtitleChar"/>
                                    <w:sz w:val="36"/>
                                    <w:szCs w:val="36"/>
                                  </w:rPr>
                                </w:pPr>
                                <w:sdt>
                                  <w:sdtPr>
                                    <w:rPr>
                                      <w:rStyle w:val="SubtitleChar"/>
                                      <w:sz w:val="36"/>
                                      <w:szCs w:val="36"/>
                                    </w:rPr>
                                    <w:alias w:val="Subject"/>
                                    <w:tag w:val=""/>
                                    <w:id w:val="-165467648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6B48CA">
                                      <w:rPr>
                                        <w:rStyle w:val="SubtitleChar"/>
                                        <w:sz w:val="36"/>
                                        <w:szCs w:val="36"/>
                                      </w:rPr>
                                      <w:t>December 2019</w:t>
                                    </w:r>
                                  </w:sdtContent>
                                </w:sdt>
                              </w:p>
                              <w:p w14:paraId="753B1057" w14:textId="77777777" w:rsidR="006B48CA" w:rsidRPr="00EF750F" w:rsidRDefault="006B48CA" w:rsidP="00EF750F">
                                <w:pPr>
                                  <w:pStyle w:val="Clear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AD83B" id="_x0000_t202" coordsize="21600,21600" o:spt="202" path="m,l,21600r21600,l21600,xe">
                    <v:stroke joinstyle="miter"/>
                    <v:path gradientshapeok="t" o:connecttype="rect"/>
                  </v:shapetype>
                  <v:shape id="Text Box 2" o:spid="_x0000_s1026" type="#_x0000_t202" style="position:absolute;margin-left:15.1pt;margin-top:135.15pt;width:388.5pt;height:245.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" filled="f" stroked="f">
                    <v:textbox>
                      <w:txbxContent>
                        <w:p w14:paraId="696093DF" w14:textId="77777777" w:rsidR="005E77E0" w:rsidRDefault="006B48CA" w:rsidP="00EF750F">
                          <w:pPr>
                            <w:pStyle w:val="Title"/>
                          </w:pPr>
                          <w:r w:rsidRPr="00EF750F">
                            <w:t xml:space="preserve">Recommendations for the prevention of infection in </w:t>
                          </w:r>
                        </w:p>
                        <w:p w14:paraId="7C023EED" w14:textId="3D43B416" w:rsidR="006B48CA" w:rsidRDefault="006B48CA" w:rsidP="00EF750F">
                          <w:pPr>
                            <w:pStyle w:val="Title"/>
                          </w:pPr>
                          <w:bookmarkStart w:id="1" w:name="_GoBack"/>
                          <w:bookmarkEnd w:id="1"/>
                          <w:r w:rsidRPr="00EF750F">
                            <w:t>intra-vascular device</w:t>
                          </w:r>
                          <w:r>
                            <w:t>s</w:t>
                          </w:r>
                        </w:p>
                        <w:p w14:paraId="7D34FF82" w14:textId="02E5C5C6" w:rsidR="006B48CA" w:rsidRDefault="005159B5" w:rsidP="00EF750F">
                          <w:pPr>
                            <w:pStyle w:val="Title"/>
                            <w:rPr>
                              <w:rStyle w:val="SubtitleChar"/>
                              <w:sz w:val="36"/>
                              <w:szCs w:val="36"/>
                            </w:rPr>
                          </w:pPr>
                          <w:sdt>
                            <w:sdtPr>
                              <w:rPr>
                                <w:rStyle w:val="SubtitleChar"/>
                                <w:sz w:val="36"/>
                                <w:szCs w:val="36"/>
                              </w:rPr>
                              <w:alias w:val="Subject"/>
                              <w:tag w:val=""/>
                              <w:id w:val="-165467648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6B48CA">
                                <w:rPr>
                                  <w:rStyle w:val="SubtitleChar"/>
                                  <w:sz w:val="36"/>
                                  <w:szCs w:val="36"/>
                                </w:rPr>
                                <w:t>December 2019</w:t>
                              </w:r>
                            </w:sdtContent>
                          </w:sdt>
                        </w:p>
                        <w:p w14:paraId="753B1057" w14:textId="77777777" w:rsidR="006B48CA" w:rsidRPr="00EF750F" w:rsidRDefault="006B48CA" w:rsidP="00EF750F">
                          <w:pPr>
                            <w:pStyle w:val="ClearParagraph"/>
                          </w:pPr>
                        </w:p>
                      </w:txbxContent>
                    </v:textbox>
                    <w10:wrap type="square" anchory="page"/>
                  </v:shape>
                </w:pict>
              </mc:Fallback>
            </mc:AlternateContent>
          </w:r>
          <w:r>
            <w:rPr>
              <w:noProof/>
              <w:sz w:val="2"/>
              <w:szCs w:val="2"/>
            </w:rPr>
            <w:br w:type="page"/>
          </w:r>
        </w:p>
      </w:sdtContent>
    </w:sdt>
    <w:sdt>
      <w:sdtPr>
        <w:rPr>
          <w:rFonts w:ascii="Fira Sans" w:eastAsiaTheme="minorHAnsi" w:hAnsi="Fira Sans" w:cstheme="minorBidi"/>
          <w:color w:val="3A3E3E" w:themeColor="background2" w:themeShade="40"/>
          <w:kern w:val="0"/>
          <w:sz w:val="21"/>
          <w:szCs w:val="21"/>
          <w:lang w:val="en-US"/>
          <w14:numSpacing w14:val="default"/>
        </w:rPr>
        <w:id w:val="-21162283"/>
        <w:docPartObj>
          <w:docPartGallery w:val="Table of Contents"/>
          <w:docPartUnique/>
        </w:docPartObj>
      </w:sdtPr>
      <w:sdtEndPr>
        <w:rPr>
          <w:b/>
          <w:bCs/>
          <w:noProof/>
        </w:rPr>
      </w:sdtEndPr>
      <w:sdtContent>
        <w:p w14:paraId="7561E12B" w14:textId="7C564E42" w:rsidR="008601A6" w:rsidRDefault="008601A6">
          <w:pPr>
            <w:pStyle w:val="TOCHeading"/>
          </w:pPr>
          <w:r>
            <w:t>Contents</w:t>
          </w:r>
        </w:p>
        <w:p w14:paraId="437072DE" w14:textId="3AB79606" w:rsidR="006B48CA" w:rsidRDefault="008601A6">
          <w:pPr>
            <w:pStyle w:val="TOC1"/>
            <w:rPr>
              <w:rFonts w:asciiTheme="minorHAnsi" w:hAnsiTheme="minorHAnsi"/>
              <w:bCs w:val="0"/>
              <w:color w:val="auto"/>
              <w:sz w:val="22"/>
              <w:szCs w:val="22"/>
              <w:u w:val="none"/>
            </w:rPr>
          </w:pPr>
          <w:r>
            <w:rPr>
              <w:bCs w:val="0"/>
              <w:noProof w:val="0"/>
            </w:rPr>
            <w:fldChar w:fldCharType="begin"/>
          </w:r>
          <w:r>
            <w:instrText xml:space="preserve"> TOC \o "1-3" \h \z \u </w:instrText>
          </w:r>
          <w:r>
            <w:rPr>
              <w:bCs w:val="0"/>
              <w:noProof w:val="0"/>
            </w:rPr>
            <w:fldChar w:fldCharType="separate"/>
          </w:r>
          <w:hyperlink w:anchor="_Toc28002345" w:history="1">
            <w:r w:rsidR="006B48CA" w:rsidRPr="00473D91">
              <w:rPr>
                <w:rStyle w:val="Hyperlink"/>
              </w:rPr>
              <w:t>Purpose</w:t>
            </w:r>
            <w:r w:rsidR="006B48CA">
              <w:rPr>
                <w:webHidden/>
              </w:rPr>
              <w:tab/>
            </w:r>
            <w:r w:rsidR="006B48CA">
              <w:rPr>
                <w:webHidden/>
              </w:rPr>
              <w:fldChar w:fldCharType="begin"/>
            </w:r>
            <w:r w:rsidR="006B48CA">
              <w:rPr>
                <w:webHidden/>
              </w:rPr>
              <w:instrText xml:space="preserve"> PAGEREF _Toc28002345 \h </w:instrText>
            </w:r>
            <w:r w:rsidR="006B48CA">
              <w:rPr>
                <w:webHidden/>
              </w:rPr>
            </w:r>
            <w:r w:rsidR="006B48CA">
              <w:rPr>
                <w:webHidden/>
              </w:rPr>
              <w:fldChar w:fldCharType="separate"/>
            </w:r>
            <w:r w:rsidR="006B48CA">
              <w:rPr>
                <w:webHidden/>
              </w:rPr>
              <w:t>3</w:t>
            </w:r>
            <w:r w:rsidR="006B48CA">
              <w:rPr>
                <w:webHidden/>
              </w:rPr>
              <w:fldChar w:fldCharType="end"/>
            </w:r>
          </w:hyperlink>
        </w:p>
        <w:p w14:paraId="4BF37F6C" w14:textId="02809DCB" w:rsidR="006B48CA" w:rsidRDefault="005159B5">
          <w:pPr>
            <w:pStyle w:val="TOC1"/>
            <w:rPr>
              <w:rFonts w:asciiTheme="minorHAnsi" w:hAnsiTheme="minorHAnsi"/>
              <w:bCs w:val="0"/>
              <w:color w:val="auto"/>
              <w:sz w:val="22"/>
              <w:szCs w:val="22"/>
              <w:u w:val="none"/>
            </w:rPr>
          </w:pPr>
          <w:hyperlink w:anchor="_Toc28002346" w:history="1">
            <w:r w:rsidR="006B48CA" w:rsidRPr="00473D91">
              <w:rPr>
                <w:rStyle w:val="Hyperlink"/>
              </w:rPr>
              <w:t>Scope</w:t>
            </w:r>
            <w:r w:rsidR="006B48CA">
              <w:rPr>
                <w:webHidden/>
              </w:rPr>
              <w:tab/>
            </w:r>
            <w:r w:rsidR="006B48CA">
              <w:rPr>
                <w:webHidden/>
              </w:rPr>
              <w:fldChar w:fldCharType="begin"/>
            </w:r>
            <w:r w:rsidR="006B48CA">
              <w:rPr>
                <w:webHidden/>
              </w:rPr>
              <w:instrText xml:space="preserve"> PAGEREF _Toc28002346 \h </w:instrText>
            </w:r>
            <w:r w:rsidR="006B48CA">
              <w:rPr>
                <w:webHidden/>
              </w:rPr>
            </w:r>
            <w:r w:rsidR="006B48CA">
              <w:rPr>
                <w:webHidden/>
              </w:rPr>
              <w:fldChar w:fldCharType="separate"/>
            </w:r>
            <w:r w:rsidR="006B48CA">
              <w:rPr>
                <w:webHidden/>
              </w:rPr>
              <w:t>3</w:t>
            </w:r>
            <w:r w:rsidR="006B48CA">
              <w:rPr>
                <w:webHidden/>
              </w:rPr>
              <w:fldChar w:fldCharType="end"/>
            </w:r>
          </w:hyperlink>
        </w:p>
        <w:p w14:paraId="576C24BB" w14:textId="1451390E" w:rsidR="006B48CA" w:rsidRDefault="005159B5">
          <w:pPr>
            <w:pStyle w:val="TOC1"/>
            <w:rPr>
              <w:rFonts w:asciiTheme="minorHAnsi" w:hAnsiTheme="minorHAnsi"/>
              <w:bCs w:val="0"/>
              <w:color w:val="auto"/>
              <w:sz w:val="22"/>
              <w:szCs w:val="22"/>
              <w:u w:val="none"/>
            </w:rPr>
          </w:pPr>
          <w:hyperlink w:anchor="_Toc28002347" w:history="1">
            <w:r w:rsidR="006B48CA" w:rsidRPr="00473D91">
              <w:rPr>
                <w:rStyle w:val="Hyperlink"/>
              </w:rPr>
              <w:t>Related documents</w:t>
            </w:r>
            <w:r w:rsidR="006B48CA">
              <w:rPr>
                <w:webHidden/>
              </w:rPr>
              <w:tab/>
            </w:r>
            <w:r w:rsidR="006B48CA">
              <w:rPr>
                <w:webHidden/>
              </w:rPr>
              <w:fldChar w:fldCharType="begin"/>
            </w:r>
            <w:r w:rsidR="006B48CA">
              <w:rPr>
                <w:webHidden/>
              </w:rPr>
              <w:instrText xml:space="preserve"> PAGEREF _Toc28002347 \h </w:instrText>
            </w:r>
            <w:r w:rsidR="006B48CA">
              <w:rPr>
                <w:webHidden/>
              </w:rPr>
            </w:r>
            <w:r w:rsidR="006B48CA">
              <w:rPr>
                <w:webHidden/>
              </w:rPr>
              <w:fldChar w:fldCharType="separate"/>
            </w:r>
            <w:r w:rsidR="006B48CA">
              <w:rPr>
                <w:webHidden/>
              </w:rPr>
              <w:t>3</w:t>
            </w:r>
            <w:r w:rsidR="006B48CA">
              <w:rPr>
                <w:webHidden/>
              </w:rPr>
              <w:fldChar w:fldCharType="end"/>
            </w:r>
          </w:hyperlink>
        </w:p>
        <w:p w14:paraId="6AC9F33F" w14:textId="608A1179" w:rsidR="006B48CA" w:rsidRDefault="005159B5">
          <w:pPr>
            <w:pStyle w:val="TOC1"/>
            <w:rPr>
              <w:rFonts w:asciiTheme="minorHAnsi" w:hAnsiTheme="minorHAnsi"/>
              <w:bCs w:val="0"/>
              <w:color w:val="auto"/>
              <w:sz w:val="22"/>
              <w:szCs w:val="22"/>
              <w:u w:val="none"/>
            </w:rPr>
          </w:pPr>
          <w:hyperlink w:anchor="_Toc28002348" w:history="1">
            <w:r w:rsidR="006B48CA" w:rsidRPr="00473D91">
              <w:rPr>
                <w:rStyle w:val="Hyperlink"/>
              </w:rPr>
              <w:t>Infection, Prevention and Control</w:t>
            </w:r>
            <w:r w:rsidR="006B48CA">
              <w:rPr>
                <w:webHidden/>
              </w:rPr>
              <w:tab/>
            </w:r>
            <w:r w:rsidR="006B48CA">
              <w:rPr>
                <w:webHidden/>
              </w:rPr>
              <w:fldChar w:fldCharType="begin"/>
            </w:r>
            <w:r w:rsidR="006B48CA">
              <w:rPr>
                <w:webHidden/>
              </w:rPr>
              <w:instrText xml:space="preserve"> PAGEREF _Toc28002348 \h </w:instrText>
            </w:r>
            <w:r w:rsidR="006B48CA">
              <w:rPr>
                <w:webHidden/>
              </w:rPr>
            </w:r>
            <w:r w:rsidR="006B48CA">
              <w:rPr>
                <w:webHidden/>
              </w:rPr>
              <w:fldChar w:fldCharType="separate"/>
            </w:r>
            <w:r w:rsidR="006B48CA">
              <w:rPr>
                <w:webHidden/>
              </w:rPr>
              <w:t>3</w:t>
            </w:r>
            <w:r w:rsidR="006B48CA">
              <w:rPr>
                <w:webHidden/>
              </w:rPr>
              <w:fldChar w:fldCharType="end"/>
            </w:r>
          </w:hyperlink>
        </w:p>
        <w:p w14:paraId="6085A581" w14:textId="1195A296" w:rsidR="006B48CA" w:rsidRDefault="005159B5">
          <w:pPr>
            <w:pStyle w:val="TOC1"/>
            <w:rPr>
              <w:rFonts w:asciiTheme="minorHAnsi" w:hAnsiTheme="minorHAnsi"/>
              <w:bCs w:val="0"/>
              <w:color w:val="auto"/>
              <w:sz w:val="22"/>
              <w:szCs w:val="22"/>
              <w:u w:val="none"/>
            </w:rPr>
          </w:pPr>
          <w:hyperlink w:anchor="_Toc28002349" w:history="1">
            <w:r w:rsidR="006B48CA" w:rsidRPr="00473D91">
              <w:rPr>
                <w:rStyle w:val="Hyperlink"/>
              </w:rPr>
              <w:t>Surveillance and Quality Improvement</w:t>
            </w:r>
            <w:r w:rsidR="006B48CA">
              <w:rPr>
                <w:webHidden/>
              </w:rPr>
              <w:tab/>
            </w:r>
            <w:r w:rsidR="006B48CA">
              <w:rPr>
                <w:webHidden/>
              </w:rPr>
              <w:fldChar w:fldCharType="begin"/>
            </w:r>
            <w:r w:rsidR="006B48CA">
              <w:rPr>
                <w:webHidden/>
              </w:rPr>
              <w:instrText xml:space="preserve"> PAGEREF _Toc28002349 \h </w:instrText>
            </w:r>
            <w:r w:rsidR="006B48CA">
              <w:rPr>
                <w:webHidden/>
              </w:rPr>
            </w:r>
            <w:r w:rsidR="006B48CA">
              <w:rPr>
                <w:webHidden/>
              </w:rPr>
              <w:fldChar w:fldCharType="separate"/>
            </w:r>
            <w:r w:rsidR="006B48CA">
              <w:rPr>
                <w:webHidden/>
              </w:rPr>
              <w:t>4</w:t>
            </w:r>
            <w:r w:rsidR="006B48CA">
              <w:rPr>
                <w:webHidden/>
              </w:rPr>
              <w:fldChar w:fldCharType="end"/>
            </w:r>
          </w:hyperlink>
        </w:p>
        <w:p w14:paraId="022B3C2E" w14:textId="735301DB" w:rsidR="006B48CA" w:rsidRDefault="005159B5">
          <w:pPr>
            <w:pStyle w:val="TOC1"/>
            <w:rPr>
              <w:rFonts w:asciiTheme="minorHAnsi" w:hAnsiTheme="minorHAnsi"/>
              <w:bCs w:val="0"/>
              <w:color w:val="auto"/>
              <w:sz w:val="22"/>
              <w:szCs w:val="22"/>
              <w:u w:val="none"/>
            </w:rPr>
          </w:pPr>
          <w:hyperlink w:anchor="_Toc28002350" w:history="1">
            <w:r w:rsidR="006B48CA" w:rsidRPr="00473D91">
              <w:rPr>
                <w:rStyle w:val="Hyperlink"/>
              </w:rPr>
              <w:t>Patient Considerations</w:t>
            </w:r>
            <w:r w:rsidR="006B48CA">
              <w:rPr>
                <w:webHidden/>
              </w:rPr>
              <w:tab/>
            </w:r>
            <w:r w:rsidR="006B48CA">
              <w:rPr>
                <w:webHidden/>
              </w:rPr>
              <w:fldChar w:fldCharType="begin"/>
            </w:r>
            <w:r w:rsidR="006B48CA">
              <w:rPr>
                <w:webHidden/>
              </w:rPr>
              <w:instrText xml:space="preserve"> PAGEREF _Toc28002350 \h </w:instrText>
            </w:r>
            <w:r w:rsidR="006B48CA">
              <w:rPr>
                <w:webHidden/>
              </w:rPr>
            </w:r>
            <w:r w:rsidR="006B48CA">
              <w:rPr>
                <w:webHidden/>
              </w:rPr>
              <w:fldChar w:fldCharType="separate"/>
            </w:r>
            <w:r w:rsidR="006B48CA">
              <w:rPr>
                <w:webHidden/>
              </w:rPr>
              <w:t>4</w:t>
            </w:r>
            <w:r w:rsidR="006B48CA">
              <w:rPr>
                <w:webHidden/>
              </w:rPr>
              <w:fldChar w:fldCharType="end"/>
            </w:r>
          </w:hyperlink>
        </w:p>
        <w:p w14:paraId="4FB05CEB" w14:textId="52FA7586" w:rsidR="006B48CA" w:rsidRDefault="005159B5">
          <w:pPr>
            <w:pStyle w:val="TOC2"/>
            <w:rPr>
              <w:rFonts w:asciiTheme="minorHAnsi" w:hAnsiTheme="minorHAnsi"/>
              <w:iCs w:val="0"/>
              <w:color w:val="auto"/>
              <w:sz w:val="22"/>
              <w:szCs w:val="22"/>
              <w:lang w:val="en-AU"/>
            </w:rPr>
          </w:pPr>
          <w:hyperlink w:anchor="_Toc28002351" w:history="1">
            <w:r w:rsidR="006B48CA" w:rsidRPr="00473D91">
              <w:rPr>
                <w:rStyle w:val="Hyperlink"/>
              </w:rPr>
              <w:t>Patient Education</w:t>
            </w:r>
            <w:r w:rsidR="006B48CA">
              <w:rPr>
                <w:webHidden/>
              </w:rPr>
              <w:tab/>
            </w:r>
            <w:r w:rsidR="006B48CA">
              <w:rPr>
                <w:webHidden/>
              </w:rPr>
              <w:fldChar w:fldCharType="begin"/>
            </w:r>
            <w:r w:rsidR="006B48CA">
              <w:rPr>
                <w:webHidden/>
              </w:rPr>
              <w:instrText xml:space="preserve"> PAGEREF _Toc28002351 \h </w:instrText>
            </w:r>
            <w:r w:rsidR="006B48CA">
              <w:rPr>
                <w:webHidden/>
              </w:rPr>
            </w:r>
            <w:r w:rsidR="006B48CA">
              <w:rPr>
                <w:webHidden/>
              </w:rPr>
              <w:fldChar w:fldCharType="separate"/>
            </w:r>
            <w:r w:rsidR="006B48CA">
              <w:rPr>
                <w:webHidden/>
              </w:rPr>
              <w:t>4</w:t>
            </w:r>
            <w:r w:rsidR="006B48CA">
              <w:rPr>
                <w:webHidden/>
              </w:rPr>
              <w:fldChar w:fldCharType="end"/>
            </w:r>
          </w:hyperlink>
        </w:p>
        <w:p w14:paraId="3BE983A8" w14:textId="6D3D3F64" w:rsidR="006B48CA" w:rsidRDefault="005159B5">
          <w:pPr>
            <w:pStyle w:val="TOC2"/>
            <w:rPr>
              <w:rFonts w:asciiTheme="minorHAnsi" w:hAnsiTheme="minorHAnsi"/>
              <w:iCs w:val="0"/>
              <w:color w:val="auto"/>
              <w:sz w:val="22"/>
              <w:szCs w:val="22"/>
              <w:lang w:val="en-AU"/>
            </w:rPr>
          </w:pPr>
          <w:hyperlink w:anchor="_Toc28002352" w:history="1">
            <w:r w:rsidR="006B48CA" w:rsidRPr="00473D91">
              <w:rPr>
                <w:rStyle w:val="Hyperlink"/>
              </w:rPr>
              <w:t>Consent</w:t>
            </w:r>
            <w:r w:rsidR="006B48CA">
              <w:rPr>
                <w:webHidden/>
              </w:rPr>
              <w:tab/>
            </w:r>
            <w:r w:rsidR="006B48CA">
              <w:rPr>
                <w:webHidden/>
              </w:rPr>
              <w:fldChar w:fldCharType="begin"/>
            </w:r>
            <w:r w:rsidR="006B48CA">
              <w:rPr>
                <w:webHidden/>
              </w:rPr>
              <w:instrText xml:space="preserve"> PAGEREF _Toc28002352 \h </w:instrText>
            </w:r>
            <w:r w:rsidR="006B48CA">
              <w:rPr>
                <w:webHidden/>
              </w:rPr>
            </w:r>
            <w:r w:rsidR="006B48CA">
              <w:rPr>
                <w:webHidden/>
              </w:rPr>
              <w:fldChar w:fldCharType="separate"/>
            </w:r>
            <w:r w:rsidR="006B48CA">
              <w:rPr>
                <w:webHidden/>
              </w:rPr>
              <w:t>4</w:t>
            </w:r>
            <w:r w:rsidR="006B48CA">
              <w:rPr>
                <w:webHidden/>
              </w:rPr>
              <w:fldChar w:fldCharType="end"/>
            </w:r>
          </w:hyperlink>
        </w:p>
        <w:p w14:paraId="086C9E2C" w14:textId="05289F5A" w:rsidR="006B48CA" w:rsidRDefault="005159B5">
          <w:pPr>
            <w:pStyle w:val="TOC1"/>
            <w:rPr>
              <w:rFonts w:asciiTheme="minorHAnsi" w:hAnsiTheme="minorHAnsi"/>
              <w:bCs w:val="0"/>
              <w:color w:val="auto"/>
              <w:sz w:val="22"/>
              <w:szCs w:val="22"/>
              <w:u w:val="none"/>
            </w:rPr>
          </w:pPr>
          <w:hyperlink w:anchor="_Toc28002353" w:history="1">
            <w:r w:rsidR="006B48CA" w:rsidRPr="00473D91">
              <w:rPr>
                <w:rStyle w:val="Hyperlink"/>
              </w:rPr>
              <w:t>Documentation</w:t>
            </w:r>
            <w:r w:rsidR="006B48CA">
              <w:rPr>
                <w:webHidden/>
              </w:rPr>
              <w:tab/>
            </w:r>
            <w:r w:rsidR="006B48CA">
              <w:rPr>
                <w:webHidden/>
              </w:rPr>
              <w:fldChar w:fldCharType="begin"/>
            </w:r>
            <w:r w:rsidR="006B48CA">
              <w:rPr>
                <w:webHidden/>
              </w:rPr>
              <w:instrText xml:space="preserve"> PAGEREF _Toc28002353 \h </w:instrText>
            </w:r>
            <w:r w:rsidR="006B48CA">
              <w:rPr>
                <w:webHidden/>
              </w:rPr>
            </w:r>
            <w:r w:rsidR="006B48CA">
              <w:rPr>
                <w:webHidden/>
              </w:rPr>
              <w:fldChar w:fldCharType="separate"/>
            </w:r>
            <w:r w:rsidR="006B48CA">
              <w:rPr>
                <w:webHidden/>
              </w:rPr>
              <w:t>5</w:t>
            </w:r>
            <w:r w:rsidR="006B48CA">
              <w:rPr>
                <w:webHidden/>
              </w:rPr>
              <w:fldChar w:fldCharType="end"/>
            </w:r>
          </w:hyperlink>
        </w:p>
        <w:p w14:paraId="49FCC52A" w14:textId="58BB6A70" w:rsidR="006B48CA" w:rsidRDefault="005159B5">
          <w:pPr>
            <w:pStyle w:val="TOC1"/>
            <w:rPr>
              <w:rFonts w:asciiTheme="minorHAnsi" w:hAnsiTheme="minorHAnsi"/>
              <w:bCs w:val="0"/>
              <w:color w:val="auto"/>
              <w:sz w:val="22"/>
              <w:szCs w:val="22"/>
              <w:u w:val="none"/>
            </w:rPr>
          </w:pPr>
          <w:hyperlink w:anchor="_Toc28002354" w:history="1">
            <w:r w:rsidR="006B48CA" w:rsidRPr="00473D91">
              <w:rPr>
                <w:rStyle w:val="Hyperlink"/>
              </w:rPr>
              <w:t>Catheter Selection</w:t>
            </w:r>
            <w:r w:rsidR="006B48CA">
              <w:rPr>
                <w:webHidden/>
              </w:rPr>
              <w:tab/>
            </w:r>
            <w:r w:rsidR="006B48CA">
              <w:rPr>
                <w:webHidden/>
              </w:rPr>
              <w:fldChar w:fldCharType="begin"/>
            </w:r>
            <w:r w:rsidR="006B48CA">
              <w:rPr>
                <w:webHidden/>
              </w:rPr>
              <w:instrText xml:space="preserve"> PAGEREF _Toc28002354 \h </w:instrText>
            </w:r>
            <w:r w:rsidR="006B48CA">
              <w:rPr>
                <w:webHidden/>
              </w:rPr>
            </w:r>
            <w:r w:rsidR="006B48CA">
              <w:rPr>
                <w:webHidden/>
              </w:rPr>
              <w:fldChar w:fldCharType="separate"/>
            </w:r>
            <w:r w:rsidR="006B48CA">
              <w:rPr>
                <w:webHidden/>
              </w:rPr>
              <w:t>5</w:t>
            </w:r>
            <w:r w:rsidR="006B48CA">
              <w:rPr>
                <w:webHidden/>
              </w:rPr>
              <w:fldChar w:fldCharType="end"/>
            </w:r>
          </w:hyperlink>
        </w:p>
        <w:p w14:paraId="0124CB88" w14:textId="62FB9FD7" w:rsidR="006B48CA" w:rsidRDefault="005159B5">
          <w:pPr>
            <w:pStyle w:val="TOC1"/>
            <w:rPr>
              <w:rFonts w:asciiTheme="minorHAnsi" w:hAnsiTheme="minorHAnsi"/>
              <w:bCs w:val="0"/>
              <w:color w:val="auto"/>
              <w:sz w:val="22"/>
              <w:szCs w:val="22"/>
              <w:u w:val="none"/>
            </w:rPr>
          </w:pPr>
          <w:hyperlink w:anchor="_Toc28002355" w:history="1">
            <w:r w:rsidR="006B48CA" w:rsidRPr="00473D91">
              <w:rPr>
                <w:rStyle w:val="Hyperlink"/>
              </w:rPr>
              <w:t>Insertion</w:t>
            </w:r>
            <w:r w:rsidR="006B48CA">
              <w:rPr>
                <w:webHidden/>
              </w:rPr>
              <w:tab/>
            </w:r>
            <w:r w:rsidR="006B48CA">
              <w:rPr>
                <w:webHidden/>
              </w:rPr>
              <w:fldChar w:fldCharType="begin"/>
            </w:r>
            <w:r w:rsidR="006B48CA">
              <w:rPr>
                <w:webHidden/>
              </w:rPr>
              <w:instrText xml:space="preserve"> PAGEREF _Toc28002355 \h </w:instrText>
            </w:r>
            <w:r w:rsidR="006B48CA">
              <w:rPr>
                <w:webHidden/>
              </w:rPr>
            </w:r>
            <w:r w:rsidR="006B48CA">
              <w:rPr>
                <w:webHidden/>
              </w:rPr>
              <w:fldChar w:fldCharType="separate"/>
            </w:r>
            <w:r w:rsidR="006B48CA">
              <w:rPr>
                <w:webHidden/>
              </w:rPr>
              <w:t>5</w:t>
            </w:r>
            <w:r w:rsidR="006B48CA">
              <w:rPr>
                <w:webHidden/>
              </w:rPr>
              <w:fldChar w:fldCharType="end"/>
            </w:r>
          </w:hyperlink>
        </w:p>
        <w:p w14:paraId="7BA0C9C3" w14:textId="494F35BF" w:rsidR="006B48CA" w:rsidRDefault="005159B5">
          <w:pPr>
            <w:pStyle w:val="TOC1"/>
            <w:rPr>
              <w:rFonts w:asciiTheme="minorHAnsi" w:hAnsiTheme="minorHAnsi"/>
              <w:bCs w:val="0"/>
              <w:color w:val="auto"/>
              <w:sz w:val="22"/>
              <w:szCs w:val="22"/>
              <w:u w:val="none"/>
            </w:rPr>
          </w:pPr>
          <w:hyperlink w:anchor="_Toc28002356" w:history="1">
            <w:r w:rsidR="006B48CA" w:rsidRPr="00473D91">
              <w:rPr>
                <w:rStyle w:val="Hyperlink"/>
              </w:rPr>
              <w:t>Insertion location</w:t>
            </w:r>
            <w:r w:rsidR="006B48CA">
              <w:rPr>
                <w:webHidden/>
              </w:rPr>
              <w:tab/>
            </w:r>
            <w:r w:rsidR="006B48CA">
              <w:rPr>
                <w:webHidden/>
              </w:rPr>
              <w:fldChar w:fldCharType="begin"/>
            </w:r>
            <w:r w:rsidR="006B48CA">
              <w:rPr>
                <w:webHidden/>
              </w:rPr>
              <w:instrText xml:space="preserve"> PAGEREF _Toc28002356 \h </w:instrText>
            </w:r>
            <w:r w:rsidR="006B48CA">
              <w:rPr>
                <w:webHidden/>
              </w:rPr>
            </w:r>
            <w:r w:rsidR="006B48CA">
              <w:rPr>
                <w:webHidden/>
              </w:rPr>
              <w:fldChar w:fldCharType="separate"/>
            </w:r>
            <w:r w:rsidR="006B48CA">
              <w:rPr>
                <w:webHidden/>
              </w:rPr>
              <w:t>5</w:t>
            </w:r>
            <w:r w:rsidR="006B48CA">
              <w:rPr>
                <w:webHidden/>
              </w:rPr>
              <w:fldChar w:fldCharType="end"/>
            </w:r>
          </w:hyperlink>
        </w:p>
        <w:p w14:paraId="6269483B" w14:textId="6CCC8DA4" w:rsidR="006B48CA" w:rsidRDefault="005159B5">
          <w:pPr>
            <w:pStyle w:val="TOC1"/>
            <w:rPr>
              <w:rFonts w:asciiTheme="minorHAnsi" w:hAnsiTheme="minorHAnsi"/>
              <w:bCs w:val="0"/>
              <w:color w:val="auto"/>
              <w:sz w:val="22"/>
              <w:szCs w:val="22"/>
              <w:u w:val="none"/>
            </w:rPr>
          </w:pPr>
          <w:hyperlink w:anchor="_Toc28002357" w:history="1">
            <w:r w:rsidR="006B48CA" w:rsidRPr="00473D91">
              <w:rPr>
                <w:rStyle w:val="Hyperlink"/>
              </w:rPr>
              <w:t>Prophylactic antibiotics</w:t>
            </w:r>
            <w:r w:rsidR="006B48CA">
              <w:rPr>
                <w:webHidden/>
              </w:rPr>
              <w:tab/>
            </w:r>
            <w:r w:rsidR="006B48CA">
              <w:rPr>
                <w:webHidden/>
              </w:rPr>
              <w:fldChar w:fldCharType="begin"/>
            </w:r>
            <w:r w:rsidR="006B48CA">
              <w:rPr>
                <w:webHidden/>
              </w:rPr>
              <w:instrText xml:space="preserve"> PAGEREF _Toc28002357 \h </w:instrText>
            </w:r>
            <w:r w:rsidR="006B48CA">
              <w:rPr>
                <w:webHidden/>
              </w:rPr>
            </w:r>
            <w:r w:rsidR="006B48CA">
              <w:rPr>
                <w:webHidden/>
              </w:rPr>
              <w:fldChar w:fldCharType="separate"/>
            </w:r>
            <w:r w:rsidR="006B48CA">
              <w:rPr>
                <w:webHidden/>
              </w:rPr>
              <w:t>5</w:t>
            </w:r>
            <w:r w:rsidR="006B48CA">
              <w:rPr>
                <w:webHidden/>
              </w:rPr>
              <w:fldChar w:fldCharType="end"/>
            </w:r>
          </w:hyperlink>
        </w:p>
        <w:p w14:paraId="7C04F7B1" w14:textId="67BBE13F" w:rsidR="006B48CA" w:rsidRDefault="005159B5">
          <w:pPr>
            <w:pStyle w:val="TOC1"/>
            <w:rPr>
              <w:rFonts w:asciiTheme="minorHAnsi" w:hAnsiTheme="minorHAnsi"/>
              <w:bCs w:val="0"/>
              <w:color w:val="auto"/>
              <w:sz w:val="22"/>
              <w:szCs w:val="22"/>
              <w:u w:val="none"/>
            </w:rPr>
          </w:pPr>
          <w:hyperlink w:anchor="_Toc28002358" w:history="1">
            <w:r w:rsidR="006B48CA" w:rsidRPr="00473D91">
              <w:rPr>
                <w:rStyle w:val="Hyperlink"/>
              </w:rPr>
              <w:t>Catheter site selection</w:t>
            </w:r>
            <w:r w:rsidR="006B48CA">
              <w:rPr>
                <w:webHidden/>
              </w:rPr>
              <w:tab/>
            </w:r>
            <w:r w:rsidR="006B48CA">
              <w:rPr>
                <w:webHidden/>
              </w:rPr>
              <w:fldChar w:fldCharType="begin"/>
            </w:r>
            <w:r w:rsidR="006B48CA">
              <w:rPr>
                <w:webHidden/>
              </w:rPr>
              <w:instrText xml:space="preserve"> PAGEREF _Toc28002358 \h </w:instrText>
            </w:r>
            <w:r w:rsidR="006B48CA">
              <w:rPr>
                <w:webHidden/>
              </w:rPr>
            </w:r>
            <w:r w:rsidR="006B48CA">
              <w:rPr>
                <w:webHidden/>
              </w:rPr>
              <w:fldChar w:fldCharType="separate"/>
            </w:r>
            <w:r w:rsidR="006B48CA">
              <w:rPr>
                <w:webHidden/>
              </w:rPr>
              <w:t>6</w:t>
            </w:r>
            <w:r w:rsidR="006B48CA">
              <w:rPr>
                <w:webHidden/>
              </w:rPr>
              <w:fldChar w:fldCharType="end"/>
            </w:r>
          </w:hyperlink>
        </w:p>
        <w:p w14:paraId="659F2F98" w14:textId="587482DE" w:rsidR="006B48CA" w:rsidRDefault="005159B5">
          <w:pPr>
            <w:pStyle w:val="TOC1"/>
            <w:rPr>
              <w:rFonts w:asciiTheme="minorHAnsi" w:hAnsiTheme="minorHAnsi"/>
              <w:bCs w:val="0"/>
              <w:color w:val="auto"/>
              <w:sz w:val="22"/>
              <w:szCs w:val="22"/>
              <w:u w:val="none"/>
            </w:rPr>
          </w:pPr>
          <w:hyperlink w:anchor="_Toc28002359" w:history="1">
            <w:r w:rsidR="006B48CA" w:rsidRPr="00473D91">
              <w:rPr>
                <w:rStyle w:val="Hyperlink"/>
              </w:rPr>
              <w:t>Maximal barrier precautions</w:t>
            </w:r>
            <w:r w:rsidR="006B48CA">
              <w:rPr>
                <w:webHidden/>
              </w:rPr>
              <w:tab/>
            </w:r>
            <w:r w:rsidR="006B48CA">
              <w:rPr>
                <w:webHidden/>
              </w:rPr>
              <w:fldChar w:fldCharType="begin"/>
            </w:r>
            <w:r w:rsidR="006B48CA">
              <w:rPr>
                <w:webHidden/>
              </w:rPr>
              <w:instrText xml:space="preserve"> PAGEREF _Toc28002359 \h </w:instrText>
            </w:r>
            <w:r w:rsidR="006B48CA">
              <w:rPr>
                <w:webHidden/>
              </w:rPr>
            </w:r>
            <w:r w:rsidR="006B48CA">
              <w:rPr>
                <w:webHidden/>
              </w:rPr>
              <w:fldChar w:fldCharType="separate"/>
            </w:r>
            <w:r w:rsidR="006B48CA">
              <w:rPr>
                <w:webHidden/>
              </w:rPr>
              <w:t>6</w:t>
            </w:r>
            <w:r w:rsidR="006B48CA">
              <w:rPr>
                <w:webHidden/>
              </w:rPr>
              <w:fldChar w:fldCharType="end"/>
            </w:r>
          </w:hyperlink>
        </w:p>
        <w:p w14:paraId="26F1C272" w14:textId="2A2B5E1B" w:rsidR="006B48CA" w:rsidRDefault="005159B5">
          <w:pPr>
            <w:pStyle w:val="TOC1"/>
            <w:rPr>
              <w:rFonts w:asciiTheme="minorHAnsi" w:hAnsiTheme="minorHAnsi"/>
              <w:bCs w:val="0"/>
              <w:color w:val="auto"/>
              <w:sz w:val="22"/>
              <w:szCs w:val="22"/>
              <w:u w:val="none"/>
            </w:rPr>
          </w:pPr>
          <w:hyperlink w:anchor="_Toc28002360" w:history="1">
            <w:r w:rsidR="006B48CA" w:rsidRPr="00473D91">
              <w:rPr>
                <w:rStyle w:val="Hyperlink"/>
              </w:rPr>
              <w:t>Skin preparation at insertion site</w:t>
            </w:r>
            <w:r w:rsidR="006B48CA">
              <w:rPr>
                <w:webHidden/>
              </w:rPr>
              <w:tab/>
            </w:r>
            <w:r w:rsidR="006B48CA">
              <w:rPr>
                <w:webHidden/>
              </w:rPr>
              <w:fldChar w:fldCharType="begin"/>
            </w:r>
            <w:r w:rsidR="006B48CA">
              <w:rPr>
                <w:webHidden/>
              </w:rPr>
              <w:instrText xml:space="preserve"> PAGEREF _Toc28002360 \h </w:instrText>
            </w:r>
            <w:r w:rsidR="006B48CA">
              <w:rPr>
                <w:webHidden/>
              </w:rPr>
            </w:r>
            <w:r w:rsidR="006B48CA">
              <w:rPr>
                <w:webHidden/>
              </w:rPr>
              <w:fldChar w:fldCharType="separate"/>
            </w:r>
            <w:r w:rsidR="006B48CA">
              <w:rPr>
                <w:webHidden/>
              </w:rPr>
              <w:t>6</w:t>
            </w:r>
            <w:r w:rsidR="006B48CA">
              <w:rPr>
                <w:webHidden/>
              </w:rPr>
              <w:fldChar w:fldCharType="end"/>
            </w:r>
          </w:hyperlink>
        </w:p>
        <w:p w14:paraId="23BD5C4B" w14:textId="25B67917" w:rsidR="006B48CA" w:rsidRDefault="005159B5">
          <w:pPr>
            <w:pStyle w:val="TOC1"/>
            <w:rPr>
              <w:rFonts w:asciiTheme="minorHAnsi" w:hAnsiTheme="minorHAnsi"/>
              <w:bCs w:val="0"/>
              <w:color w:val="auto"/>
              <w:sz w:val="22"/>
              <w:szCs w:val="22"/>
              <w:u w:val="none"/>
            </w:rPr>
          </w:pPr>
          <w:hyperlink w:anchor="_Toc28002361" w:history="1">
            <w:r w:rsidR="006B48CA" w:rsidRPr="00473D91">
              <w:rPr>
                <w:rStyle w:val="Hyperlink"/>
              </w:rPr>
              <w:t>Post insertion care, dressing types and replacement intervals</w:t>
            </w:r>
            <w:r w:rsidR="006B48CA">
              <w:rPr>
                <w:webHidden/>
              </w:rPr>
              <w:tab/>
            </w:r>
            <w:r w:rsidR="006B48CA">
              <w:rPr>
                <w:webHidden/>
              </w:rPr>
              <w:fldChar w:fldCharType="begin"/>
            </w:r>
            <w:r w:rsidR="006B48CA">
              <w:rPr>
                <w:webHidden/>
              </w:rPr>
              <w:instrText xml:space="preserve"> PAGEREF _Toc28002361 \h </w:instrText>
            </w:r>
            <w:r w:rsidR="006B48CA">
              <w:rPr>
                <w:webHidden/>
              </w:rPr>
            </w:r>
            <w:r w:rsidR="006B48CA">
              <w:rPr>
                <w:webHidden/>
              </w:rPr>
              <w:fldChar w:fldCharType="separate"/>
            </w:r>
            <w:r w:rsidR="006B48CA">
              <w:rPr>
                <w:webHidden/>
              </w:rPr>
              <w:t>6</w:t>
            </w:r>
            <w:r w:rsidR="006B48CA">
              <w:rPr>
                <w:webHidden/>
              </w:rPr>
              <w:fldChar w:fldCharType="end"/>
            </w:r>
          </w:hyperlink>
        </w:p>
        <w:p w14:paraId="328A6AA9" w14:textId="2310FB4F" w:rsidR="006B48CA" w:rsidRDefault="005159B5">
          <w:pPr>
            <w:pStyle w:val="TOC1"/>
            <w:rPr>
              <w:rFonts w:asciiTheme="minorHAnsi" w:hAnsiTheme="minorHAnsi"/>
              <w:bCs w:val="0"/>
              <w:color w:val="auto"/>
              <w:sz w:val="22"/>
              <w:szCs w:val="22"/>
              <w:u w:val="none"/>
            </w:rPr>
          </w:pPr>
          <w:hyperlink w:anchor="_Toc28002362" w:history="1">
            <w:r w:rsidR="006B48CA" w:rsidRPr="00473D91">
              <w:rPr>
                <w:rStyle w:val="Hyperlink"/>
              </w:rPr>
              <w:t>Securement devices</w:t>
            </w:r>
            <w:r w:rsidR="006B48CA">
              <w:rPr>
                <w:webHidden/>
              </w:rPr>
              <w:tab/>
            </w:r>
            <w:r w:rsidR="006B48CA">
              <w:rPr>
                <w:webHidden/>
              </w:rPr>
              <w:fldChar w:fldCharType="begin"/>
            </w:r>
            <w:r w:rsidR="006B48CA">
              <w:rPr>
                <w:webHidden/>
              </w:rPr>
              <w:instrText xml:space="preserve"> PAGEREF _Toc28002362 \h </w:instrText>
            </w:r>
            <w:r w:rsidR="006B48CA">
              <w:rPr>
                <w:webHidden/>
              </w:rPr>
            </w:r>
            <w:r w:rsidR="006B48CA">
              <w:rPr>
                <w:webHidden/>
              </w:rPr>
              <w:fldChar w:fldCharType="separate"/>
            </w:r>
            <w:r w:rsidR="006B48CA">
              <w:rPr>
                <w:webHidden/>
              </w:rPr>
              <w:t>7</w:t>
            </w:r>
            <w:r w:rsidR="006B48CA">
              <w:rPr>
                <w:webHidden/>
              </w:rPr>
              <w:fldChar w:fldCharType="end"/>
            </w:r>
          </w:hyperlink>
        </w:p>
        <w:p w14:paraId="032A9ED4" w14:textId="1120F9EC" w:rsidR="006B48CA" w:rsidRDefault="005159B5">
          <w:pPr>
            <w:pStyle w:val="TOC1"/>
            <w:rPr>
              <w:rFonts w:asciiTheme="minorHAnsi" w:hAnsiTheme="minorHAnsi"/>
              <w:bCs w:val="0"/>
              <w:color w:val="auto"/>
              <w:sz w:val="22"/>
              <w:szCs w:val="22"/>
              <w:u w:val="none"/>
            </w:rPr>
          </w:pPr>
          <w:hyperlink w:anchor="_Toc28002363" w:history="1">
            <w:r w:rsidR="006B48CA" w:rsidRPr="00473D91">
              <w:rPr>
                <w:rStyle w:val="Hyperlink"/>
              </w:rPr>
              <w:t>Device review</w:t>
            </w:r>
            <w:r w:rsidR="006B48CA">
              <w:rPr>
                <w:webHidden/>
              </w:rPr>
              <w:tab/>
            </w:r>
            <w:r w:rsidR="006B48CA">
              <w:rPr>
                <w:webHidden/>
              </w:rPr>
              <w:fldChar w:fldCharType="begin"/>
            </w:r>
            <w:r w:rsidR="006B48CA">
              <w:rPr>
                <w:webHidden/>
              </w:rPr>
              <w:instrText xml:space="preserve"> PAGEREF _Toc28002363 \h </w:instrText>
            </w:r>
            <w:r w:rsidR="006B48CA">
              <w:rPr>
                <w:webHidden/>
              </w:rPr>
            </w:r>
            <w:r w:rsidR="006B48CA">
              <w:rPr>
                <w:webHidden/>
              </w:rPr>
              <w:fldChar w:fldCharType="separate"/>
            </w:r>
            <w:r w:rsidR="006B48CA">
              <w:rPr>
                <w:webHidden/>
              </w:rPr>
              <w:t>7</w:t>
            </w:r>
            <w:r w:rsidR="006B48CA">
              <w:rPr>
                <w:webHidden/>
              </w:rPr>
              <w:fldChar w:fldCharType="end"/>
            </w:r>
          </w:hyperlink>
        </w:p>
        <w:p w14:paraId="151BDECB" w14:textId="50326E2A" w:rsidR="006B48CA" w:rsidRDefault="005159B5">
          <w:pPr>
            <w:pStyle w:val="TOC1"/>
            <w:rPr>
              <w:rFonts w:asciiTheme="minorHAnsi" w:hAnsiTheme="minorHAnsi"/>
              <w:bCs w:val="0"/>
              <w:color w:val="auto"/>
              <w:sz w:val="22"/>
              <w:szCs w:val="22"/>
              <w:u w:val="none"/>
            </w:rPr>
          </w:pPr>
          <w:hyperlink w:anchor="_Toc28002364" w:history="1">
            <w:r w:rsidR="006B48CA" w:rsidRPr="00473D91">
              <w:rPr>
                <w:rStyle w:val="Hyperlink"/>
              </w:rPr>
              <w:t>Flushing and locking</w:t>
            </w:r>
            <w:r w:rsidR="006B48CA">
              <w:rPr>
                <w:webHidden/>
              </w:rPr>
              <w:tab/>
            </w:r>
            <w:r w:rsidR="006B48CA">
              <w:rPr>
                <w:webHidden/>
              </w:rPr>
              <w:fldChar w:fldCharType="begin"/>
            </w:r>
            <w:r w:rsidR="006B48CA">
              <w:rPr>
                <w:webHidden/>
              </w:rPr>
              <w:instrText xml:space="preserve"> PAGEREF _Toc28002364 \h </w:instrText>
            </w:r>
            <w:r w:rsidR="006B48CA">
              <w:rPr>
                <w:webHidden/>
              </w:rPr>
            </w:r>
            <w:r w:rsidR="006B48CA">
              <w:rPr>
                <w:webHidden/>
              </w:rPr>
              <w:fldChar w:fldCharType="separate"/>
            </w:r>
            <w:r w:rsidR="006B48CA">
              <w:rPr>
                <w:webHidden/>
              </w:rPr>
              <w:t>8</w:t>
            </w:r>
            <w:r w:rsidR="006B48CA">
              <w:rPr>
                <w:webHidden/>
              </w:rPr>
              <w:fldChar w:fldCharType="end"/>
            </w:r>
          </w:hyperlink>
        </w:p>
        <w:p w14:paraId="693ED8EE" w14:textId="18CE9E03" w:rsidR="006B48CA" w:rsidRDefault="005159B5">
          <w:pPr>
            <w:pStyle w:val="TOC1"/>
            <w:rPr>
              <w:rFonts w:asciiTheme="minorHAnsi" w:hAnsiTheme="minorHAnsi"/>
              <w:bCs w:val="0"/>
              <w:color w:val="auto"/>
              <w:sz w:val="22"/>
              <w:szCs w:val="22"/>
              <w:u w:val="none"/>
            </w:rPr>
          </w:pPr>
          <w:hyperlink w:anchor="_Toc28002365" w:history="1">
            <w:r w:rsidR="006B48CA" w:rsidRPr="00473D91">
              <w:rPr>
                <w:rStyle w:val="Hyperlink"/>
              </w:rPr>
              <w:t>Replacement of IV fluids</w:t>
            </w:r>
            <w:r w:rsidR="006B48CA">
              <w:rPr>
                <w:webHidden/>
              </w:rPr>
              <w:tab/>
            </w:r>
            <w:r w:rsidR="006B48CA">
              <w:rPr>
                <w:webHidden/>
              </w:rPr>
              <w:fldChar w:fldCharType="begin"/>
            </w:r>
            <w:r w:rsidR="006B48CA">
              <w:rPr>
                <w:webHidden/>
              </w:rPr>
              <w:instrText xml:space="preserve"> PAGEREF _Toc28002365 \h </w:instrText>
            </w:r>
            <w:r w:rsidR="006B48CA">
              <w:rPr>
                <w:webHidden/>
              </w:rPr>
            </w:r>
            <w:r w:rsidR="006B48CA">
              <w:rPr>
                <w:webHidden/>
              </w:rPr>
              <w:fldChar w:fldCharType="separate"/>
            </w:r>
            <w:r w:rsidR="006B48CA">
              <w:rPr>
                <w:webHidden/>
              </w:rPr>
              <w:t>8</w:t>
            </w:r>
            <w:r w:rsidR="006B48CA">
              <w:rPr>
                <w:webHidden/>
              </w:rPr>
              <w:fldChar w:fldCharType="end"/>
            </w:r>
          </w:hyperlink>
        </w:p>
        <w:p w14:paraId="2B15025F" w14:textId="5546476C" w:rsidR="006B48CA" w:rsidRDefault="005159B5">
          <w:pPr>
            <w:pStyle w:val="TOC1"/>
            <w:rPr>
              <w:rFonts w:asciiTheme="minorHAnsi" w:hAnsiTheme="minorHAnsi"/>
              <w:bCs w:val="0"/>
              <w:color w:val="auto"/>
              <w:sz w:val="22"/>
              <w:szCs w:val="22"/>
              <w:u w:val="none"/>
            </w:rPr>
          </w:pPr>
          <w:hyperlink w:anchor="_Toc28002366" w:history="1">
            <w:r w:rsidR="006B48CA" w:rsidRPr="00473D91">
              <w:rPr>
                <w:rStyle w:val="Hyperlink"/>
              </w:rPr>
              <w:t>Administration set changes</w:t>
            </w:r>
            <w:r w:rsidR="006B48CA">
              <w:rPr>
                <w:webHidden/>
              </w:rPr>
              <w:tab/>
            </w:r>
            <w:r w:rsidR="006B48CA">
              <w:rPr>
                <w:webHidden/>
              </w:rPr>
              <w:fldChar w:fldCharType="begin"/>
            </w:r>
            <w:r w:rsidR="006B48CA">
              <w:rPr>
                <w:webHidden/>
              </w:rPr>
              <w:instrText xml:space="preserve"> PAGEREF _Toc28002366 \h </w:instrText>
            </w:r>
            <w:r w:rsidR="006B48CA">
              <w:rPr>
                <w:webHidden/>
              </w:rPr>
            </w:r>
            <w:r w:rsidR="006B48CA">
              <w:rPr>
                <w:webHidden/>
              </w:rPr>
              <w:fldChar w:fldCharType="separate"/>
            </w:r>
            <w:r w:rsidR="006B48CA">
              <w:rPr>
                <w:webHidden/>
              </w:rPr>
              <w:t>9</w:t>
            </w:r>
            <w:r w:rsidR="006B48CA">
              <w:rPr>
                <w:webHidden/>
              </w:rPr>
              <w:fldChar w:fldCharType="end"/>
            </w:r>
          </w:hyperlink>
        </w:p>
        <w:p w14:paraId="6008BD2B" w14:textId="7E5F81E2" w:rsidR="006B48CA" w:rsidRDefault="005159B5">
          <w:pPr>
            <w:pStyle w:val="TOC1"/>
            <w:rPr>
              <w:rFonts w:asciiTheme="minorHAnsi" w:hAnsiTheme="minorHAnsi"/>
              <w:bCs w:val="0"/>
              <w:color w:val="auto"/>
              <w:sz w:val="22"/>
              <w:szCs w:val="22"/>
              <w:u w:val="none"/>
            </w:rPr>
          </w:pPr>
          <w:hyperlink w:anchor="_Toc28002367" w:history="1">
            <w:r w:rsidR="006B48CA" w:rsidRPr="00473D91">
              <w:rPr>
                <w:rStyle w:val="Hyperlink"/>
              </w:rPr>
              <w:t>Needleless access ports</w:t>
            </w:r>
            <w:r w:rsidR="006B48CA">
              <w:rPr>
                <w:webHidden/>
              </w:rPr>
              <w:tab/>
            </w:r>
            <w:r w:rsidR="006B48CA">
              <w:rPr>
                <w:webHidden/>
              </w:rPr>
              <w:fldChar w:fldCharType="begin"/>
            </w:r>
            <w:r w:rsidR="006B48CA">
              <w:rPr>
                <w:webHidden/>
              </w:rPr>
              <w:instrText xml:space="preserve"> PAGEREF _Toc28002367 \h </w:instrText>
            </w:r>
            <w:r w:rsidR="006B48CA">
              <w:rPr>
                <w:webHidden/>
              </w:rPr>
            </w:r>
            <w:r w:rsidR="006B48CA">
              <w:rPr>
                <w:webHidden/>
              </w:rPr>
              <w:fldChar w:fldCharType="separate"/>
            </w:r>
            <w:r w:rsidR="006B48CA">
              <w:rPr>
                <w:webHidden/>
              </w:rPr>
              <w:t>10</w:t>
            </w:r>
            <w:r w:rsidR="006B48CA">
              <w:rPr>
                <w:webHidden/>
              </w:rPr>
              <w:fldChar w:fldCharType="end"/>
            </w:r>
          </w:hyperlink>
        </w:p>
        <w:p w14:paraId="4A4DFF79" w14:textId="1FEB6E83" w:rsidR="006B48CA" w:rsidRDefault="005159B5">
          <w:pPr>
            <w:pStyle w:val="TOC1"/>
            <w:rPr>
              <w:rFonts w:asciiTheme="minorHAnsi" w:hAnsiTheme="minorHAnsi"/>
              <w:bCs w:val="0"/>
              <w:color w:val="auto"/>
              <w:sz w:val="22"/>
              <w:szCs w:val="22"/>
              <w:u w:val="none"/>
            </w:rPr>
          </w:pPr>
          <w:hyperlink w:anchor="_Toc28002368" w:history="1">
            <w:r w:rsidR="006B48CA" w:rsidRPr="00473D91">
              <w:rPr>
                <w:rStyle w:val="Hyperlink"/>
              </w:rPr>
              <w:t>Disinfectant caps</w:t>
            </w:r>
            <w:r w:rsidR="006B48CA">
              <w:rPr>
                <w:webHidden/>
              </w:rPr>
              <w:tab/>
            </w:r>
            <w:r w:rsidR="006B48CA">
              <w:rPr>
                <w:webHidden/>
              </w:rPr>
              <w:fldChar w:fldCharType="begin"/>
            </w:r>
            <w:r w:rsidR="006B48CA">
              <w:rPr>
                <w:webHidden/>
              </w:rPr>
              <w:instrText xml:space="preserve"> PAGEREF _Toc28002368 \h </w:instrText>
            </w:r>
            <w:r w:rsidR="006B48CA">
              <w:rPr>
                <w:webHidden/>
              </w:rPr>
            </w:r>
            <w:r w:rsidR="006B48CA">
              <w:rPr>
                <w:webHidden/>
              </w:rPr>
              <w:fldChar w:fldCharType="separate"/>
            </w:r>
            <w:r w:rsidR="006B48CA">
              <w:rPr>
                <w:webHidden/>
              </w:rPr>
              <w:t>10</w:t>
            </w:r>
            <w:r w:rsidR="006B48CA">
              <w:rPr>
                <w:webHidden/>
              </w:rPr>
              <w:fldChar w:fldCharType="end"/>
            </w:r>
          </w:hyperlink>
        </w:p>
        <w:p w14:paraId="2D4EB188" w14:textId="7C8CC151" w:rsidR="006B48CA" w:rsidRDefault="005159B5">
          <w:pPr>
            <w:pStyle w:val="TOC1"/>
            <w:rPr>
              <w:rFonts w:asciiTheme="minorHAnsi" w:hAnsiTheme="minorHAnsi"/>
              <w:bCs w:val="0"/>
              <w:color w:val="auto"/>
              <w:sz w:val="22"/>
              <w:szCs w:val="22"/>
              <w:u w:val="none"/>
            </w:rPr>
          </w:pPr>
          <w:hyperlink w:anchor="_Toc28002369" w:history="1">
            <w:r w:rsidR="006B48CA" w:rsidRPr="00473D91">
              <w:rPr>
                <w:rStyle w:val="Hyperlink"/>
              </w:rPr>
              <w:t>Blood culture collection for diagnosis of BSI</w:t>
            </w:r>
            <w:r w:rsidR="006B48CA">
              <w:rPr>
                <w:webHidden/>
              </w:rPr>
              <w:tab/>
            </w:r>
            <w:r w:rsidR="006B48CA">
              <w:rPr>
                <w:webHidden/>
              </w:rPr>
              <w:fldChar w:fldCharType="begin"/>
            </w:r>
            <w:r w:rsidR="006B48CA">
              <w:rPr>
                <w:webHidden/>
              </w:rPr>
              <w:instrText xml:space="preserve"> PAGEREF _Toc28002369 \h </w:instrText>
            </w:r>
            <w:r w:rsidR="006B48CA">
              <w:rPr>
                <w:webHidden/>
              </w:rPr>
            </w:r>
            <w:r w:rsidR="006B48CA">
              <w:rPr>
                <w:webHidden/>
              </w:rPr>
              <w:fldChar w:fldCharType="separate"/>
            </w:r>
            <w:r w:rsidR="006B48CA">
              <w:rPr>
                <w:webHidden/>
              </w:rPr>
              <w:t>10</w:t>
            </w:r>
            <w:r w:rsidR="006B48CA">
              <w:rPr>
                <w:webHidden/>
              </w:rPr>
              <w:fldChar w:fldCharType="end"/>
            </w:r>
          </w:hyperlink>
        </w:p>
        <w:p w14:paraId="3EFD6973" w14:textId="6F4C0722" w:rsidR="006B48CA" w:rsidRDefault="005159B5">
          <w:pPr>
            <w:pStyle w:val="TOC1"/>
            <w:rPr>
              <w:rFonts w:asciiTheme="minorHAnsi" w:hAnsiTheme="minorHAnsi"/>
              <w:bCs w:val="0"/>
              <w:color w:val="auto"/>
              <w:sz w:val="22"/>
              <w:szCs w:val="22"/>
              <w:u w:val="none"/>
            </w:rPr>
          </w:pPr>
          <w:hyperlink w:anchor="_Toc28002370" w:history="1">
            <w:r w:rsidR="006B48CA" w:rsidRPr="00473D91">
              <w:rPr>
                <w:rStyle w:val="Hyperlink"/>
              </w:rPr>
              <w:t>Culturing line tips</w:t>
            </w:r>
            <w:r w:rsidR="006B48CA">
              <w:rPr>
                <w:webHidden/>
              </w:rPr>
              <w:tab/>
            </w:r>
            <w:r w:rsidR="006B48CA">
              <w:rPr>
                <w:webHidden/>
              </w:rPr>
              <w:fldChar w:fldCharType="begin"/>
            </w:r>
            <w:r w:rsidR="006B48CA">
              <w:rPr>
                <w:webHidden/>
              </w:rPr>
              <w:instrText xml:space="preserve"> PAGEREF _Toc28002370 \h </w:instrText>
            </w:r>
            <w:r w:rsidR="006B48CA">
              <w:rPr>
                <w:webHidden/>
              </w:rPr>
            </w:r>
            <w:r w:rsidR="006B48CA">
              <w:rPr>
                <w:webHidden/>
              </w:rPr>
              <w:fldChar w:fldCharType="separate"/>
            </w:r>
            <w:r w:rsidR="006B48CA">
              <w:rPr>
                <w:webHidden/>
              </w:rPr>
              <w:t>11</w:t>
            </w:r>
            <w:r w:rsidR="006B48CA">
              <w:rPr>
                <w:webHidden/>
              </w:rPr>
              <w:fldChar w:fldCharType="end"/>
            </w:r>
          </w:hyperlink>
        </w:p>
        <w:p w14:paraId="1AC33FB7" w14:textId="5FEFFE8B" w:rsidR="006B48CA" w:rsidRDefault="005159B5">
          <w:pPr>
            <w:pStyle w:val="TOC1"/>
            <w:rPr>
              <w:rFonts w:asciiTheme="minorHAnsi" w:hAnsiTheme="minorHAnsi"/>
              <w:bCs w:val="0"/>
              <w:color w:val="auto"/>
              <w:sz w:val="22"/>
              <w:szCs w:val="22"/>
              <w:u w:val="none"/>
            </w:rPr>
          </w:pPr>
          <w:hyperlink w:anchor="_Toc28002371" w:history="1">
            <w:r w:rsidR="006B48CA" w:rsidRPr="00473D91">
              <w:rPr>
                <w:rStyle w:val="Hyperlink"/>
              </w:rPr>
              <w:t>Ethanol lock therapy</w:t>
            </w:r>
            <w:r w:rsidR="006B48CA">
              <w:rPr>
                <w:webHidden/>
              </w:rPr>
              <w:tab/>
            </w:r>
            <w:r w:rsidR="006B48CA">
              <w:rPr>
                <w:webHidden/>
              </w:rPr>
              <w:fldChar w:fldCharType="begin"/>
            </w:r>
            <w:r w:rsidR="006B48CA">
              <w:rPr>
                <w:webHidden/>
              </w:rPr>
              <w:instrText xml:space="preserve"> PAGEREF _Toc28002371 \h </w:instrText>
            </w:r>
            <w:r w:rsidR="006B48CA">
              <w:rPr>
                <w:webHidden/>
              </w:rPr>
            </w:r>
            <w:r w:rsidR="006B48CA">
              <w:rPr>
                <w:webHidden/>
              </w:rPr>
              <w:fldChar w:fldCharType="separate"/>
            </w:r>
            <w:r w:rsidR="006B48CA">
              <w:rPr>
                <w:webHidden/>
              </w:rPr>
              <w:t>11</w:t>
            </w:r>
            <w:r w:rsidR="006B48CA">
              <w:rPr>
                <w:webHidden/>
              </w:rPr>
              <w:fldChar w:fldCharType="end"/>
            </w:r>
          </w:hyperlink>
        </w:p>
        <w:p w14:paraId="4F700847" w14:textId="416D8591" w:rsidR="006B48CA" w:rsidRDefault="005159B5">
          <w:pPr>
            <w:pStyle w:val="TOC1"/>
            <w:rPr>
              <w:rFonts w:asciiTheme="minorHAnsi" w:hAnsiTheme="minorHAnsi"/>
              <w:bCs w:val="0"/>
              <w:color w:val="auto"/>
              <w:sz w:val="22"/>
              <w:szCs w:val="22"/>
              <w:u w:val="none"/>
            </w:rPr>
          </w:pPr>
          <w:hyperlink w:anchor="_Toc28002372" w:history="1">
            <w:r w:rsidR="006B48CA" w:rsidRPr="00473D91">
              <w:rPr>
                <w:rStyle w:val="Hyperlink"/>
              </w:rPr>
              <w:t>Catheter duration, replacement and removal</w:t>
            </w:r>
            <w:r w:rsidR="006B48CA">
              <w:rPr>
                <w:webHidden/>
              </w:rPr>
              <w:tab/>
            </w:r>
            <w:r w:rsidR="006B48CA">
              <w:rPr>
                <w:webHidden/>
              </w:rPr>
              <w:fldChar w:fldCharType="begin"/>
            </w:r>
            <w:r w:rsidR="006B48CA">
              <w:rPr>
                <w:webHidden/>
              </w:rPr>
              <w:instrText xml:space="preserve"> PAGEREF _Toc28002372 \h </w:instrText>
            </w:r>
            <w:r w:rsidR="006B48CA">
              <w:rPr>
                <w:webHidden/>
              </w:rPr>
            </w:r>
            <w:r w:rsidR="006B48CA">
              <w:rPr>
                <w:webHidden/>
              </w:rPr>
              <w:fldChar w:fldCharType="separate"/>
            </w:r>
            <w:r w:rsidR="006B48CA">
              <w:rPr>
                <w:webHidden/>
              </w:rPr>
              <w:t>11</w:t>
            </w:r>
            <w:r w:rsidR="006B48CA">
              <w:rPr>
                <w:webHidden/>
              </w:rPr>
              <w:fldChar w:fldCharType="end"/>
            </w:r>
          </w:hyperlink>
        </w:p>
        <w:p w14:paraId="17FA597F" w14:textId="13F879B6" w:rsidR="006B48CA" w:rsidRDefault="005159B5">
          <w:pPr>
            <w:pStyle w:val="TOC1"/>
            <w:rPr>
              <w:rFonts w:asciiTheme="minorHAnsi" w:hAnsiTheme="minorHAnsi"/>
              <w:bCs w:val="0"/>
              <w:color w:val="auto"/>
              <w:sz w:val="22"/>
              <w:szCs w:val="22"/>
              <w:u w:val="none"/>
            </w:rPr>
          </w:pPr>
          <w:hyperlink w:anchor="_Toc28002373" w:history="1">
            <w:r w:rsidR="006B48CA" w:rsidRPr="00473D91">
              <w:rPr>
                <w:rStyle w:val="Hyperlink"/>
              </w:rPr>
              <w:t>Definitions</w:t>
            </w:r>
            <w:r w:rsidR="006B48CA">
              <w:rPr>
                <w:webHidden/>
              </w:rPr>
              <w:tab/>
            </w:r>
            <w:r w:rsidR="006B48CA">
              <w:rPr>
                <w:webHidden/>
              </w:rPr>
              <w:fldChar w:fldCharType="begin"/>
            </w:r>
            <w:r w:rsidR="006B48CA">
              <w:rPr>
                <w:webHidden/>
              </w:rPr>
              <w:instrText xml:space="preserve"> PAGEREF _Toc28002373 \h </w:instrText>
            </w:r>
            <w:r w:rsidR="006B48CA">
              <w:rPr>
                <w:webHidden/>
              </w:rPr>
            </w:r>
            <w:r w:rsidR="006B48CA">
              <w:rPr>
                <w:webHidden/>
              </w:rPr>
              <w:fldChar w:fldCharType="separate"/>
            </w:r>
            <w:r w:rsidR="006B48CA">
              <w:rPr>
                <w:webHidden/>
              </w:rPr>
              <w:t>12</w:t>
            </w:r>
            <w:r w:rsidR="006B48CA">
              <w:rPr>
                <w:webHidden/>
              </w:rPr>
              <w:fldChar w:fldCharType="end"/>
            </w:r>
          </w:hyperlink>
        </w:p>
        <w:p w14:paraId="7A481E79" w14:textId="0A2F928D" w:rsidR="006B48CA" w:rsidRDefault="005159B5">
          <w:pPr>
            <w:pStyle w:val="TOC1"/>
            <w:rPr>
              <w:rFonts w:asciiTheme="minorHAnsi" w:hAnsiTheme="minorHAnsi"/>
              <w:bCs w:val="0"/>
              <w:color w:val="auto"/>
              <w:sz w:val="22"/>
              <w:szCs w:val="22"/>
              <w:u w:val="none"/>
            </w:rPr>
          </w:pPr>
          <w:hyperlink w:anchor="_Toc28002374" w:history="1">
            <w:r w:rsidR="006B48CA" w:rsidRPr="00473D91">
              <w:rPr>
                <w:rStyle w:val="Hyperlink"/>
              </w:rPr>
              <w:t>Document approval details</w:t>
            </w:r>
            <w:r w:rsidR="006B48CA">
              <w:rPr>
                <w:webHidden/>
              </w:rPr>
              <w:tab/>
            </w:r>
            <w:r w:rsidR="006B48CA">
              <w:rPr>
                <w:webHidden/>
              </w:rPr>
              <w:fldChar w:fldCharType="begin"/>
            </w:r>
            <w:r w:rsidR="006B48CA">
              <w:rPr>
                <w:webHidden/>
              </w:rPr>
              <w:instrText xml:space="preserve"> PAGEREF _Toc28002374 \h </w:instrText>
            </w:r>
            <w:r w:rsidR="006B48CA">
              <w:rPr>
                <w:webHidden/>
              </w:rPr>
            </w:r>
            <w:r w:rsidR="006B48CA">
              <w:rPr>
                <w:webHidden/>
              </w:rPr>
              <w:fldChar w:fldCharType="separate"/>
            </w:r>
            <w:r w:rsidR="006B48CA">
              <w:rPr>
                <w:webHidden/>
              </w:rPr>
              <w:t>12</w:t>
            </w:r>
            <w:r w:rsidR="006B48CA">
              <w:rPr>
                <w:webHidden/>
              </w:rPr>
              <w:fldChar w:fldCharType="end"/>
            </w:r>
          </w:hyperlink>
        </w:p>
        <w:p w14:paraId="3BC5F0C8" w14:textId="3939F737" w:rsidR="006B48CA" w:rsidRDefault="005159B5">
          <w:pPr>
            <w:pStyle w:val="TOC2"/>
            <w:rPr>
              <w:rFonts w:asciiTheme="minorHAnsi" w:hAnsiTheme="minorHAnsi"/>
              <w:iCs w:val="0"/>
              <w:color w:val="auto"/>
              <w:sz w:val="22"/>
              <w:szCs w:val="22"/>
              <w:lang w:val="en-AU"/>
            </w:rPr>
          </w:pPr>
          <w:hyperlink w:anchor="_Toc28002375" w:history="1">
            <w:r w:rsidR="006B48CA" w:rsidRPr="00473D91">
              <w:rPr>
                <w:rStyle w:val="Hyperlink"/>
              </w:rPr>
              <w:t>Version control</w:t>
            </w:r>
            <w:r w:rsidR="006B48CA">
              <w:rPr>
                <w:webHidden/>
              </w:rPr>
              <w:tab/>
            </w:r>
            <w:r w:rsidR="006B48CA">
              <w:rPr>
                <w:webHidden/>
              </w:rPr>
              <w:fldChar w:fldCharType="begin"/>
            </w:r>
            <w:r w:rsidR="006B48CA">
              <w:rPr>
                <w:webHidden/>
              </w:rPr>
              <w:instrText xml:space="preserve"> PAGEREF _Toc28002375 \h </w:instrText>
            </w:r>
            <w:r w:rsidR="006B48CA">
              <w:rPr>
                <w:webHidden/>
              </w:rPr>
            </w:r>
            <w:r w:rsidR="006B48CA">
              <w:rPr>
                <w:webHidden/>
              </w:rPr>
              <w:fldChar w:fldCharType="separate"/>
            </w:r>
            <w:r w:rsidR="006B48CA">
              <w:rPr>
                <w:webHidden/>
              </w:rPr>
              <w:t>12</w:t>
            </w:r>
            <w:r w:rsidR="006B48CA">
              <w:rPr>
                <w:webHidden/>
              </w:rPr>
              <w:fldChar w:fldCharType="end"/>
            </w:r>
          </w:hyperlink>
        </w:p>
        <w:p w14:paraId="33B306FE" w14:textId="3E50FEBD" w:rsidR="006B48CA" w:rsidRDefault="005159B5">
          <w:pPr>
            <w:pStyle w:val="TOC1"/>
            <w:rPr>
              <w:rFonts w:asciiTheme="minorHAnsi" w:hAnsiTheme="minorHAnsi"/>
              <w:bCs w:val="0"/>
              <w:color w:val="auto"/>
              <w:sz w:val="22"/>
              <w:szCs w:val="22"/>
              <w:u w:val="none"/>
            </w:rPr>
          </w:pPr>
          <w:hyperlink w:anchor="_Toc28002376" w:history="1">
            <w:r w:rsidR="006B48CA" w:rsidRPr="00473D91">
              <w:rPr>
                <w:rStyle w:val="Hyperlink"/>
              </w:rPr>
              <w:t>Appendix 1</w:t>
            </w:r>
            <w:r w:rsidR="006B48CA">
              <w:rPr>
                <w:webHidden/>
              </w:rPr>
              <w:tab/>
            </w:r>
            <w:r w:rsidR="006B48CA">
              <w:rPr>
                <w:webHidden/>
              </w:rPr>
              <w:fldChar w:fldCharType="begin"/>
            </w:r>
            <w:r w:rsidR="006B48CA">
              <w:rPr>
                <w:webHidden/>
              </w:rPr>
              <w:instrText xml:space="preserve"> PAGEREF _Toc28002376 \h </w:instrText>
            </w:r>
            <w:r w:rsidR="006B48CA">
              <w:rPr>
                <w:webHidden/>
              </w:rPr>
            </w:r>
            <w:r w:rsidR="006B48CA">
              <w:rPr>
                <w:webHidden/>
              </w:rPr>
              <w:fldChar w:fldCharType="separate"/>
            </w:r>
            <w:r w:rsidR="006B48CA">
              <w:rPr>
                <w:webHidden/>
              </w:rPr>
              <w:t>13</w:t>
            </w:r>
            <w:r w:rsidR="006B48CA">
              <w:rPr>
                <w:webHidden/>
              </w:rPr>
              <w:fldChar w:fldCharType="end"/>
            </w:r>
          </w:hyperlink>
        </w:p>
        <w:p w14:paraId="76200C0C" w14:textId="06CAC658" w:rsidR="006B48CA" w:rsidRDefault="005159B5">
          <w:pPr>
            <w:pStyle w:val="TOC2"/>
            <w:rPr>
              <w:rFonts w:asciiTheme="minorHAnsi" w:hAnsiTheme="minorHAnsi"/>
              <w:iCs w:val="0"/>
              <w:color w:val="auto"/>
              <w:sz w:val="22"/>
              <w:szCs w:val="22"/>
              <w:lang w:val="en-AU"/>
            </w:rPr>
          </w:pPr>
          <w:hyperlink w:anchor="_Toc28002377" w:history="1">
            <w:r w:rsidR="006B48CA" w:rsidRPr="00473D91">
              <w:rPr>
                <w:rStyle w:val="Hyperlink"/>
              </w:rPr>
              <w:t>Tunnelled CVC specific information</w:t>
            </w:r>
            <w:r w:rsidR="006B48CA">
              <w:rPr>
                <w:webHidden/>
              </w:rPr>
              <w:tab/>
            </w:r>
            <w:r w:rsidR="006B48CA">
              <w:rPr>
                <w:webHidden/>
              </w:rPr>
              <w:fldChar w:fldCharType="begin"/>
            </w:r>
            <w:r w:rsidR="006B48CA">
              <w:rPr>
                <w:webHidden/>
              </w:rPr>
              <w:instrText xml:space="preserve"> PAGEREF _Toc28002377 \h </w:instrText>
            </w:r>
            <w:r w:rsidR="006B48CA">
              <w:rPr>
                <w:webHidden/>
              </w:rPr>
            </w:r>
            <w:r w:rsidR="006B48CA">
              <w:rPr>
                <w:webHidden/>
              </w:rPr>
              <w:fldChar w:fldCharType="separate"/>
            </w:r>
            <w:r w:rsidR="006B48CA">
              <w:rPr>
                <w:webHidden/>
              </w:rPr>
              <w:t>13</w:t>
            </w:r>
            <w:r w:rsidR="006B48CA">
              <w:rPr>
                <w:webHidden/>
              </w:rPr>
              <w:fldChar w:fldCharType="end"/>
            </w:r>
          </w:hyperlink>
        </w:p>
        <w:p w14:paraId="467B1707" w14:textId="5F4DB4DD" w:rsidR="006B48CA" w:rsidRDefault="005159B5">
          <w:pPr>
            <w:pStyle w:val="TOC1"/>
            <w:rPr>
              <w:rFonts w:asciiTheme="minorHAnsi" w:hAnsiTheme="minorHAnsi"/>
              <w:bCs w:val="0"/>
              <w:color w:val="auto"/>
              <w:sz w:val="22"/>
              <w:szCs w:val="22"/>
              <w:u w:val="none"/>
            </w:rPr>
          </w:pPr>
          <w:hyperlink w:anchor="_Toc28002378" w:history="1">
            <w:r w:rsidR="006B48CA" w:rsidRPr="00473D91">
              <w:rPr>
                <w:rStyle w:val="Hyperlink"/>
              </w:rPr>
              <w:t>Appendix 2</w:t>
            </w:r>
            <w:r w:rsidR="006B48CA">
              <w:rPr>
                <w:webHidden/>
              </w:rPr>
              <w:tab/>
            </w:r>
            <w:r w:rsidR="006B48CA">
              <w:rPr>
                <w:webHidden/>
              </w:rPr>
              <w:fldChar w:fldCharType="begin"/>
            </w:r>
            <w:r w:rsidR="006B48CA">
              <w:rPr>
                <w:webHidden/>
              </w:rPr>
              <w:instrText xml:space="preserve"> PAGEREF _Toc28002378 \h </w:instrText>
            </w:r>
            <w:r w:rsidR="006B48CA">
              <w:rPr>
                <w:webHidden/>
              </w:rPr>
            </w:r>
            <w:r w:rsidR="006B48CA">
              <w:rPr>
                <w:webHidden/>
              </w:rPr>
              <w:fldChar w:fldCharType="separate"/>
            </w:r>
            <w:r w:rsidR="006B48CA">
              <w:rPr>
                <w:webHidden/>
              </w:rPr>
              <w:t>14</w:t>
            </w:r>
            <w:r w:rsidR="006B48CA">
              <w:rPr>
                <w:webHidden/>
              </w:rPr>
              <w:fldChar w:fldCharType="end"/>
            </w:r>
          </w:hyperlink>
        </w:p>
        <w:p w14:paraId="7B2F4C51" w14:textId="7360E6C9" w:rsidR="006B48CA" w:rsidRDefault="005159B5">
          <w:pPr>
            <w:pStyle w:val="TOC2"/>
            <w:rPr>
              <w:rFonts w:asciiTheme="minorHAnsi" w:hAnsiTheme="minorHAnsi"/>
              <w:iCs w:val="0"/>
              <w:color w:val="auto"/>
              <w:sz w:val="22"/>
              <w:szCs w:val="22"/>
              <w:lang w:val="en-AU"/>
            </w:rPr>
          </w:pPr>
          <w:hyperlink w:anchor="_Toc28002379" w:history="1">
            <w:r w:rsidR="006B48CA" w:rsidRPr="00473D91">
              <w:rPr>
                <w:rStyle w:val="Hyperlink"/>
              </w:rPr>
              <w:t>PICC specific information</w:t>
            </w:r>
            <w:r w:rsidR="006B48CA">
              <w:rPr>
                <w:webHidden/>
              </w:rPr>
              <w:tab/>
            </w:r>
            <w:r w:rsidR="006B48CA">
              <w:rPr>
                <w:webHidden/>
              </w:rPr>
              <w:fldChar w:fldCharType="begin"/>
            </w:r>
            <w:r w:rsidR="006B48CA">
              <w:rPr>
                <w:webHidden/>
              </w:rPr>
              <w:instrText xml:space="preserve"> PAGEREF _Toc28002379 \h </w:instrText>
            </w:r>
            <w:r w:rsidR="006B48CA">
              <w:rPr>
                <w:webHidden/>
              </w:rPr>
            </w:r>
            <w:r w:rsidR="006B48CA">
              <w:rPr>
                <w:webHidden/>
              </w:rPr>
              <w:fldChar w:fldCharType="separate"/>
            </w:r>
            <w:r w:rsidR="006B48CA">
              <w:rPr>
                <w:webHidden/>
              </w:rPr>
              <w:t>14</w:t>
            </w:r>
            <w:r w:rsidR="006B48CA">
              <w:rPr>
                <w:webHidden/>
              </w:rPr>
              <w:fldChar w:fldCharType="end"/>
            </w:r>
          </w:hyperlink>
        </w:p>
        <w:p w14:paraId="608FCB64" w14:textId="4CBC9EE4" w:rsidR="006B48CA" w:rsidRDefault="005159B5">
          <w:pPr>
            <w:pStyle w:val="TOC1"/>
            <w:rPr>
              <w:rFonts w:asciiTheme="minorHAnsi" w:hAnsiTheme="minorHAnsi"/>
              <w:bCs w:val="0"/>
              <w:color w:val="auto"/>
              <w:sz w:val="22"/>
              <w:szCs w:val="22"/>
              <w:u w:val="none"/>
            </w:rPr>
          </w:pPr>
          <w:hyperlink w:anchor="_Toc28002380" w:history="1">
            <w:r w:rsidR="006B48CA" w:rsidRPr="00473D91">
              <w:rPr>
                <w:rStyle w:val="Hyperlink"/>
              </w:rPr>
              <w:t>Appendix 3</w:t>
            </w:r>
            <w:r w:rsidR="006B48CA">
              <w:rPr>
                <w:webHidden/>
              </w:rPr>
              <w:tab/>
            </w:r>
            <w:r w:rsidR="006B48CA">
              <w:rPr>
                <w:webHidden/>
              </w:rPr>
              <w:fldChar w:fldCharType="begin"/>
            </w:r>
            <w:r w:rsidR="006B48CA">
              <w:rPr>
                <w:webHidden/>
              </w:rPr>
              <w:instrText xml:space="preserve"> PAGEREF _Toc28002380 \h </w:instrText>
            </w:r>
            <w:r w:rsidR="006B48CA">
              <w:rPr>
                <w:webHidden/>
              </w:rPr>
            </w:r>
            <w:r w:rsidR="006B48CA">
              <w:rPr>
                <w:webHidden/>
              </w:rPr>
              <w:fldChar w:fldCharType="separate"/>
            </w:r>
            <w:r w:rsidR="006B48CA">
              <w:rPr>
                <w:webHidden/>
              </w:rPr>
              <w:t>15</w:t>
            </w:r>
            <w:r w:rsidR="006B48CA">
              <w:rPr>
                <w:webHidden/>
              </w:rPr>
              <w:fldChar w:fldCharType="end"/>
            </w:r>
          </w:hyperlink>
        </w:p>
        <w:p w14:paraId="077AA0DC" w14:textId="79389AE6" w:rsidR="006B48CA" w:rsidRDefault="005159B5">
          <w:pPr>
            <w:pStyle w:val="TOC2"/>
            <w:rPr>
              <w:rFonts w:asciiTheme="minorHAnsi" w:hAnsiTheme="minorHAnsi"/>
              <w:iCs w:val="0"/>
              <w:color w:val="auto"/>
              <w:sz w:val="22"/>
              <w:szCs w:val="22"/>
              <w:lang w:val="en-AU"/>
            </w:rPr>
          </w:pPr>
          <w:hyperlink w:anchor="_Toc28002381" w:history="1">
            <w:r w:rsidR="006B48CA" w:rsidRPr="00473D91">
              <w:rPr>
                <w:rStyle w:val="Hyperlink"/>
              </w:rPr>
              <w:t>Percutaneous CVC specific information</w:t>
            </w:r>
            <w:r w:rsidR="006B48CA">
              <w:rPr>
                <w:webHidden/>
              </w:rPr>
              <w:tab/>
            </w:r>
            <w:r w:rsidR="006B48CA">
              <w:rPr>
                <w:webHidden/>
              </w:rPr>
              <w:fldChar w:fldCharType="begin"/>
            </w:r>
            <w:r w:rsidR="006B48CA">
              <w:rPr>
                <w:webHidden/>
              </w:rPr>
              <w:instrText xml:space="preserve"> PAGEREF _Toc28002381 \h </w:instrText>
            </w:r>
            <w:r w:rsidR="006B48CA">
              <w:rPr>
                <w:webHidden/>
              </w:rPr>
            </w:r>
            <w:r w:rsidR="006B48CA">
              <w:rPr>
                <w:webHidden/>
              </w:rPr>
              <w:fldChar w:fldCharType="separate"/>
            </w:r>
            <w:r w:rsidR="006B48CA">
              <w:rPr>
                <w:webHidden/>
              </w:rPr>
              <w:t>15</w:t>
            </w:r>
            <w:r w:rsidR="006B48CA">
              <w:rPr>
                <w:webHidden/>
              </w:rPr>
              <w:fldChar w:fldCharType="end"/>
            </w:r>
          </w:hyperlink>
        </w:p>
        <w:p w14:paraId="0679D01F" w14:textId="0C10D2F0" w:rsidR="006B48CA" w:rsidRDefault="005159B5">
          <w:pPr>
            <w:pStyle w:val="TOC1"/>
            <w:rPr>
              <w:rFonts w:asciiTheme="minorHAnsi" w:hAnsiTheme="minorHAnsi"/>
              <w:bCs w:val="0"/>
              <w:color w:val="auto"/>
              <w:sz w:val="22"/>
              <w:szCs w:val="22"/>
              <w:u w:val="none"/>
            </w:rPr>
          </w:pPr>
          <w:hyperlink w:anchor="_Toc28002382" w:history="1">
            <w:r w:rsidR="006B48CA" w:rsidRPr="00473D91">
              <w:rPr>
                <w:rStyle w:val="Hyperlink"/>
              </w:rPr>
              <w:t>Appendix 4</w:t>
            </w:r>
            <w:r w:rsidR="006B48CA">
              <w:rPr>
                <w:webHidden/>
              </w:rPr>
              <w:tab/>
            </w:r>
            <w:r w:rsidR="006B48CA">
              <w:rPr>
                <w:webHidden/>
              </w:rPr>
              <w:fldChar w:fldCharType="begin"/>
            </w:r>
            <w:r w:rsidR="006B48CA">
              <w:rPr>
                <w:webHidden/>
              </w:rPr>
              <w:instrText xml:space="preserve"> PAGEREF _Toc28002382 \h </w:instrText>
            </w:r>
            <w:r w:rsidR="006B48CA">
              <w:rPr>
                <w:webHidden/>
              </w:rPr>
            </w:r>
            <w:r w:rsidR="006B48CA">
              <w:rPr>
                <w:webHidden/>
              </w:rPr>
              <w:fldChar w:fldCharType="separate"/>
            </w:r>
            <w:r w:rsidR="006B48CA">
              <w:rPr>
                <w:webHidden/>
              </w:rPr>
              <w:t>16</w:t>
            </w:r>
            <w:r w:rsidR="006B48CA">
              <w:rPr>
                <w:webHidden/>
              </w:rPr>
              <w:fldChar w:fldCharType="end"/>
            </w:r>
          </w:hyperlink>
        </w:p>
        <w:p w14:paraId="0A31F195" w14:textId="44353EE4" w:rsidR="006B48CA" w:rsidRDefault="005159B5">
          <w:pPr>
            <w:pStyle w:val="TOC2"/>
            <w:rPr>
              <w:rFonts w:asciiTheme="minorHAnsi" w:hAnsiTheme="minorHAnsi"/>
              <w:iCs w:val="0"/>
              <w:color w:val="auto"/>
              <w:sz w:val="22"/>
              <w:szCs w:val="22"/>
              <w:lang w:val="en-AU"/>
            </w:rPr>
          </w:pPr>
          <w:hyperlink w:anchor="_Toc28002383" w:history="1">
            <w:r w:rsidR="006B48CA" w:rsidRPr="00473D91">
              <w:rPr>
                <w:rStyle w:val="Hyperlink"/>
              </w:rPr>
              <w:t>PORT or Port-a-cath specific information (Totally Implanted Central Venous Access Port)</w:t>
            </w:r>
            <w:r w:rsidR="006B48CA">
              <w:rPr>
                <w:webHidden/>
              </w:rPr>
              <w:tab/>
            </w:r>
            <w:r w:rsidR="006B48CA">
              <w:rPr>
                <w:webHidden/>
              </w:rPr>
              <w:fldChar w:fldCharType="begin"/>
            </w:r>
            <w:r w:rsidR="006B48CA">
              <w:rPr>
                <w:webHidden/>
              </w:rPr>
              <w:instrText xml:space="preserve"> PAGEREF _Toc28002383 \h </w:instrText>
            </w:r>
            <w:r w:rsidR="006B48CA">
              <w:rPr>
                <w:webHidden/>
              </w:rPr>
            </w:r>
            <w:r w:rsidR="006B48CA">
              <w:rPr>
                <w:webHidden/>
              </w:rPr>
              <w:fldChar w:fldCharType="separate"/>
            </w:r>
            <w:r w:rsidR="006B48CA">
              <w:rPr>
                <w:webHidden/>
              </w:rPr>
              <w:t>16</w:t>
            </w:r>
            <w:r w:rsidR="006B48CA">
              <w:rPr>
                <w:webHidden/>
              </w:rPr>
              <w:fldChar w:fldCharType="end"/>
            </w:r>
          </w:hyperlink>
        </w:p>
        <w:p w14:paraId="390D9D13" w14:textId="430D0F55" w:rsidR="006B48CA" w:rsidRDefault="005159B5">
          <w:pPr>
            <w:pStyle w:val="TOC1"/>
            <w:rPr>
              <w:rFonts w:asciiTheme="minorHAnsi" w:hAnsiTheme="minorHAnsi"/>
              <w:bCs w:val="0"/>
              <w:color w:val="auto"/>
              <w:sz w:val="22"/>
              <w:szCs w:val="22"/>
              <w:u w:val="none"/>
            </w:rPr>
          </w:pPr>
          <w:hyperlink w:anchor="_Toc28002384" w:history="1">
            <w:r w:rsidR="006B48CA" w:rsidRPr="00473D91">
              <w:rPr>
                <w:rStyle w:val="Hyperlink"/>
              </w:rPr>
              <w:t>Appendix 5</w:t>
            </w:r>
            <w:r w:rsidR="006B48CA">
              <w:rPr>
                <w:webHidden/>
              </w:rPr>
              <w:tab/>
            </w:r>
            <w:r w:rsidR="006B48CA">
              <w:rPr>
                <w:webHidden/>
              </w:rPr>
              <w:fldChar w:fldCharType="begin"/>
            </w:r>
            <w:r w:rsidR="006B48CA">
              <w:rPr>
                <w:webHidden/>
              </w:rPr>
              <w:instrText xml:space="preserve"> PAGEREF _Toc28002384 \h </w:instrText>
            </w:r>
            <w:r w:rsidR="006B48CA">
              <w:rPr>
                <w:webHidden/>
              </w:rPr>
            </w:r>
            <w:r w:rsidR="006B48CA">
              <w:rPr>
                <w:webHidden/>
              </w:rPr>
              <w:fldChar w:fldCharType="separate"/>
            </w:r>
            <w:r w:rsidR="006B48CA">
              <w:rPr>
                <w:webHidden/>
              </w:rPr>
              <w:t>17</w:t>
            </w:r>
            <w:r w:rsidR="006B48CA">
              <w:rPr>
                <w:webHidden/>
              </w:rPr>
              <w:fldChar w:fldCharType="end"/>
            </w:r>
          </w:hyperlink>
        </w:p>
        <w:p w14:paraId="5A4FA15E" w14:textId="715A9B69" w:rsidR="006B48CA" w:rsidRDefault="005159B5">
          <w:pPr>
            <w:pStyle w:val="TOC2"/>
            <w:rPr>
              <w:rFonts w:asciiTheme="minorHAnsi" w:hAnsiTheme="minorHAnsi"/>
              <w:iCs w:val="0"/>
              <w:color w:val="auto"/>
              <w:sz w:val="22"/>
              <w:szCs w:val="22"/>
              <w:lang w:val="en-AU"/>
            </w:rPr>
          </w:pPr>
          <w:hyperlink w:anchor="_Toc28002385" w:history="1">
            <w:r w:rsidR="006B48CA" w:rsidRPr="00473D91">
              <w:rPr>
                <w:rStyle w:val="Hyperlink"/>
              </w:rPr>
              <w:t>Haemodialysis catheter specific information</w:t>
            </w:r>
            <w:r w:rsidR="006B48CA">
              <w:rPr>
                <w:webHidden/>
              </w:rPr>
              <w:tab/>
            </w:r>
            <w:r w:rsidR="006B48CA">
              <w:rPr>
                <w:webHidden/>
              </w:rPr>
              <w:fldChar w:fldCharType="begin"/>
            </w:r>
            <w:r w:rsidR="006B48CA">
              <w:rPr>
                <w:webHidden/>
              </w:rPr>
              <w:instrText xml:space="preserve"> PAGEREF _Toc28002385 \h </w:instrText>
            </w:r>
            <w:r w:rsidR="006B48CA">
              <w:rPr>
                <w:webHidden/>
              </w:rPr>
            </w:r>
            <w:r w:rsidR="006B48CA">
              <w:rPr>
                <w:webHidden/>
              </w:rPr>
              <w:fldChar w:fldCharType="separate"/>
            </w:r>
            <w:r w:rsidR="006B48CA">
              <w:rPr>
                <w:webHidden/>
              </w:rPr>
              <w:t>17</w:t>
            </w:r>
            <w:r w:rsidR="006B48CA">
              <w:rPr>
                <w:webHidden/>
              </w:rPr>
              <w:fldChar w:fldCharType="end"/>
            </w:r>
          </w:hyperlink>
        </w:p>
        <w:p w14:paraId="3BEE6738" w14:textId="46A9DF7D" w:rsidR="006B48CA" w:rsidRDefault="005159B5">
          <w:pPr>
            <w:pStyle w:val="TOC1"/>
            <w:rPr>
              <w:rFonts w:asciiTheme="minorHAnsi" w:hAnsiTheme="minorHAnsi"/>
              <w:bCs w:val="0"/>
              <w:color w:val="auto"/>
              <w:sz w:val="22"/>
              <w:szCs w:val="22"/>
              <w:u w:val="none"/>
            </w:rPr>
          </w:pPr>
          <w:hyperlink w:anchor="_Toc28002386" w:history="1">
            <w:r w:rsidR="006B48CA" w:rsidRPr="00473D91">
              <w:rPr>
                <w:rStyle w:val="Hyperlink"/>
              </w:rPr>
              <w:t>Appendix 6</w:t>
            </w:r>
            <w:r w:rsidR="006B48CA">
              <w:rPr>
                <w:webHidden/>
              </w:rPr>
              <w:tab/>
            </w:r>
            <w:r w:rsidR="006B48CA">
              <w:rPr>
                <w:webHidden/>
              </w:rPr>
              <w:fldChar w:fldCharType="begin"/>
            </w:r>
            <w:r w:rsidR="006B48CA">
              <w:rPr>
                <w:webHidden/>
              </w:rPr>
              <w:instrText xml:space="preserve"> PAGEREF _Toc28002386 \h </w:instrText>
            </w:r>
            <w:r w:rsidR="006B48CA">
              <w:rPr>
                <w:webHidden/>
              </w:rPr>
            </w:r>
            <w:r w:rsidR="006B48CA">
              <w:rPr>
                <w:webHidden/>
              </w:rPr>
              <w:fldChar w:fldCharType="separate"/>
            </w:r>
            <w:r w:rsidR="006B48CA">
              <w:rPr>
                <w:webHidden/>
              </w:rPr>
              <w:t>18</w:t>
            </w:r>
            <w:r w:rsidR="006B48CA">
              <w:rPr>
                <w:webHidden/>
              </w:rPr>
              <w:fldChar w:fldCharType="end"/>
            </w:r>
          </w:hyperlink>
        </w:p>
        <w:p w14:paraId="43FAA18A" w14:textId="48994A68" w:rsidR="006B48CA" w:rsidRDefault="005159B5">
          <w:pPr>
            <w:pStyle w:val="TOC2"/>
            <w:rPr>
              <w:rFonts w:asciiTheme="minorHAnsi" w:hAnsiTheme="minorHAnsi"/>
              <w:iCs w:val="0"/>
              <w:color w:val="auto"/>
              <w:sz w:val="22"/>
              <w:szCs w:val="22"/>
              <w:lang w:val="en-AU"/>
            </w:rPr>
          </w:pPr>
          <w:hyperlink w:anchor="_Toc28002387" w:history="1">
            <w:r w:rsidR="006B48CA" w:rsidRPr="00473D91">
              <w:rPr>
                <w:rStyle w:val="Hyperlink"/>
              </w:rPr>
              <w:t>Peripheral intravenous catheter specific information</w:t>
            </w:r>
            <w:r w:rsidR="006B48CA">
              <w:rPr>
                <w:webHidden/>
              </w:rPr>
              <w:tab/>
            </w:r>
            <w:r w:rsidR="006B48CA">
              <w:rPr>
                <w:webHidden/>
              </w:rPr>
              <w:fldChar w:fldCharType="begin"/>
            </w:r>
            <w:r w:rsidR="006B48CA">
              <w:rPr>
                <w:webHidden/>
              </w:rPr>
              <w:instrText xml:space="preserve"> PAGEREF _Toc28002387 \h </w:instrText>
            </w:r>
            <w:r w:rsidR="006B48CA">
              <w:rPr>
                <w:webHidden/>
              </w:rPr>
            </w:r>
            <w:r w:rsidR="006B48CA">
              <w:rPr>
                <w:webHidden/>
              </w:rPr>
              <w:fldChar w:fldCharType="separate"/>
            </w:r>
            <w:r w:rsidR="006B48CA">
              <w:rPr>
                <w:webHidden/>
              </w:rPr>
              <w:t>18</w:t>
            </w:r>
            <w:r w:rsidR="006B48CA">
              <w:rPr>
                <w:webHidden/>
              </w:rPr>
              <w:fldChar w:fldCharType="end"/>
            </w:r>
          </w:hyperlink>
        </w:p>
        <w:p w14:paraId="01140EF1" w14:textId="11B94FF7" w:rsidR="006B48CA" w:rsidRDefault="005159B5">
          <w:pPr>
            <w:pStyle w:val="TOC1"/>
            <w:rPr>
              <w:rFonts w:asciiTheme="minorHAnsi" w:hAnsiTheme="minorHAnsi"/>
              <w:bCs w:val="0"/>
              <w:color w:val="auto"/>
              <w:sz w:val="22"/>
              <w:szCs w:val="22"/>
              <w:u w:val="none"/>
            </w:rPr>
          </w:pPr>
          <w:hyperlink w:anchor="_Toc28002388" w:history="1">
            <w:r w:rsidR="006B48CA" w:rsidRPr="00473D91">
              <w:rPr>
                <w:rStyle w:val="Hyperlink"/>
              </w:rPr>
              <w:t>Appendix 7</w:t>
            </w:r>
            <w:r w:rsidR="006B48CA">
              <w:rPr>
                <w:webHidden/>
              </w:rPr>
              <w:tab/>
            </w:r>
            <w:r w:rsidR="006B48CA">
              <w:rPr>
                <w:webHidden/>
              </w:rPr>
              <w:fldChar w:fldCharType="begin"/>
            </w:r>
            <w:r w:rsidR="006B48CA">
              <w:rPr>
                <w:webHidden/>
              </w:rPr>
              <w:instrText xml:space="preserve"> PAGEREF _Toc28002388 \h </w:instrText>
            </w:r>
            <w:r w:rsidR="006B48CA">
              <w:rPr>
                <w:webHidden/>
              </w:rPr>
            </w:r>
            <w:r w:rsidR="006B48CA">
              <w:rPr>
                <w:webHidden/>
              </w:rPr>
              <w:fldChar w:fldCharType="separate"/>
            </w:r>
            <w:r w:rsidR="006B48CA">
              <w:rPr>
                <w:webHidden/>
              </w:rPr>
              <w:t>19</w:t>
            </w:r>
            <w:r w:rsidR="006B48CA">
              <w:rPr>
                <w:webHidden/>
              </w:rPr>
              <w:fldChar w:fldCharType="end"/>
            </w:r>
          </w:hyperlink>
        </w:p>
        <w:p w14:paraId="798DE4ED" w14:textId="694F7537" w:rsidR="006B48CA" w:rsidRDefault="005159B5">
          <w:pPr>
            <w:pStyle w:val="TOC2"/>
            <w:rPr>
              <w:rStyle w:val="Hyperlink"/>
            </w:rPr>
          </w:pPr>
          <w:hyperlink w:anchor="_Toc28002389" w:history="1">
            <w:r w:rsidR="006B48CA" w:rsidRPr="00473D91">
              <w:rPr>
                <w:rStyle w:val="Hyperlink"/>
              </w:rPr>
              <w:t>Staphylococcus aureus bloodstream investigation checklist</w:t>
            </w:r>
            <w:r w:rsidR="006B48CA">
              <w:rPr>
                <w:webHidden/>
              </w:rPr>
              <w:tab/>
            </w:r>
            <w:r w:rsidR="006B48CA">
              <w:rPr>
                <w:webHidden/>
              </w:rPr>
              <w:fldChar w:fldCharType="begin"/>
            </w:r>
            <w:r w:rsidR="006B48CA">
              <w:rPr>
                <w:webHidden/>
              </w:rPr>
              <w:instrText xml:space="preserve"> PAGEREF _Toc28002389 \h </w:instrText>
            </w:r>
            <w:r w:rsidR="006B48CA">
              <w:rPr>
                <w:webHidden/>
              </w:rPr>
            </w:r>
            <w:r w:rsidR="006B48CA">
              <w:rPr>
                <w:webHidden/>
              </w:rPr>
              <w:fldChar w:fldCharType="separate"/>
            </w:r>
            <w:r w:rsidR="006B48CA">
              <w:rPr>
                <w:webHidden/>
              </w:rPr>
              <w:t>19</w:t>
            </w:r>
            <w:r w:rsidR="006B48CA">
              <w:rPr>
                <w:webHidden/>
              </w:rPr>
              <w:fldChar w:fldCharType="end"/>
            </w:r>
          </w:hyperlink>
        </w:p>
        <w:p w14:paraId="3C2DC679" w14:textId="1E16B2FE" w:rsidR="006B48CA" w:rsidRDefault="005159B5" w:rsidP="006B48CA">
          <w:pPr>
            <w:pStyle w:val="TOC1"/>
            <w:rPr>
              <w:rFonts w:asciiTheme="minorHAnsi" w:hAnsiTheme="minorHAnsi"/>
              <w:bCs w:val="0"/>
              <w:color w:val="auto"/>
              <w:sz w:val="22"/>
              <w:szCs w:val="22"/>
              <w:u w:val="none"/>
            </w:rPr>
          </w:pPr>
          <w:hyperlink w:anchor="_Toc28002388" w:history="1">
            <w:r w:rsidR="006B48CA">
              <w:rPr>
                <w:rStyle w:val="Hyperlink"/>
              </w:rPr>
              <w:t>References</w:t>
            </w:r>
            <w:r w:rsidR="006B48CA">
              <w:rPr>
                <w:webHidden/>
              </w:rPr>
              <w:tab/>
              <w:t>27</w:t>
            </w:r>
          </w:hyperlink>
        </w:p>
        <w:p w14:paraId="4323D976" w14:textId="0F06B77F" w:rsidR="006B48CA" w:rsidRDefault="005159B5" w:rsidP="006B48CA">
          <w:pPr>
            <w:pStyle w:val="TOC2"/>
            <w:rPr>
              <w:rFonts w:asciiTheme="minorHAnsi" w:hAnsiTheme="minorHAnsi"/>
              <w:iCs w:val="0"/>
              <w:color w:val="auto"/>
              <w:sz w:val="22"/>
              <w:szCs w:val="22"/>
              <w:lang w:val="en-AU"/>
            </w:rPr>
          </w:pPr>
          <w:hyperlink w:anchor="_Toc28002389" w:history="1">
            <w:r w:rsidR="006B48CA">
              <w:rPr>
                <w:webHidden/>
              </w:rPr>
              <w:tab/>
            </w:r>
          </w:hyperlink>
        </w:p>
        <w:p w14:paraId="470832CB" w14:textId="409C337F" w:rsidR="008601A6" w:rsidRDefault="008601A6">
          <w:r>
            <w:rPr>
              <w:b/>
              <w:bCs/>
              <w:noProof/>
            </w:rPr>
            <w:fldChar w:fldCharType="end"/>
          </w:r>
        </w:p>
      </w:sdtContent>
    </w:sdt>
    <w:p w14:paraId="09837F04" w14:textId="77777777" w:rsidR="002961F3" w:rsidRDefault="008601A6" w:rsidP="00EF750F">
      <w:pPr>
        <w:pStyle w:val="Heading1"/>
        <w:sectPr w:rsidR="002961F3" w:rsidSect="008F2319">
          <w:headerReference w:type="default" r:id="rId11"/>
          <w:footerReference w:type="default" r:id="rId12"/>
          <w:footerReference w:type="first" r:id="rId13"/>
          <w:type w:val="continuous"/>
          <w:pgSz w:w="11906" w:h="16838" w:code="9"/>
          <w:pgMar w:top="0" w:right="1556" w:bottom="1170" w:left="1531" w:header="709" w:footer="709" w:gutter="0"/>
          <w:pgNumType w:start="0"/>
          <w:cols w:space="708"/>
          <w:titlePg/>
          <w:docGrid w:linePitch="360"/>
        </w:sectPr>
      </w:pPr>
      <w:r>
        <w:br w:type="page"/>
      </w:r>
    </w:p>
    <w:p w14:paraId="75CE80CC" w14:textId="17C8B2E3" w:rsidR="008601A6" w:rsidRDefault="008601A6" w:rsidP="00EF750F">
      <w:pPr>
        <w:pStyle w:val="Heading1"/>
      </w:pPr>
    </w:p>
    <w:p w14:paraId="4C3AEFB3" w14:textId="4F01094C" w:rsidR="00EF750F" w:rsidRDefault="00EF750F" w:rsidP="00EF750F">
      <w:pPr>
        <w:pStyle w:val="Heading1"/>
      </w:pPr>
      <w:bookmarkStart w:id="2" w:name="_Toc28002345"/>
      <w:r>
        <w:t>Purpose</w:t>
      </w:r>
      <w:bookmarkEnd w:id="2"/>
    </w:p>
    <w:p w14:paraId="0C0A7694" w14:textId="77777777" w:rsidR="00EF750F" w:rsidRDefault="00EF750F" w:rsidP="00C00376">
      <w:pPr>
        <w:pStyle w:val="BodyText"/>
      </w:pPr>
      <w:r>
        <w:t xml:space="preserve">This guideline provides recommendations regarding best practice for the prevention of infection related to intra-vascular devices (IVD). </w:t>
      </w:r>
    </w:p>
    <w:p w14:paraId="0873C95C" w14:textId="77777777" w:rsidR="00EF750F" w:rsidRDefault="00EF750F" w:rsidP="00EF750F">
      <w:pPr>
        <w:pStyle w:val="Heading1"/>
      </w:pPr>
      <w:bookmarkStart w:id="3" w:name="_Toc28002346"/>
      <w:r>
        <w:t>Scope</w:t>
      </w:r>
      <w:bookmarkEnd w:id="3"/>
    </w:p>
    <w:p w14:paraId="5D008DBC" w14:textId="77777777" w:rsidR="00EF750F" w:rsidRDefault="00EF750F" w:rsidP="00C00376">
      <w:pPr>
        <w:pStyle w:val="BodyText"/>
      </w:pPr>
      <w:r>
        <w:t xml:space="preserve">This guideline provides best practice infection prevention advice for all Queensland public health system employees (temporary, permanent and casual) and all organisational and individuals acting as its agents. This guideline does not address the use or care of umbilical catheters or arterial catheters. It does not address product choice </w:t>
      </w:r>
      <w:proofErr w:type="gramStart"/>
      <w:r>
        <w:t>decisions,</w:t>
      </w:r>
      <w:proofErr w:type="gramEnd"/>
      <w:r>
        <w:t xml:space="preserve"> insertion techniques or device use and acknowledges that some areas of Queensland have different product requirements that may be based on local requirements.</w:t>
      </w:r>
    </w:p>
    <w:p w14:paraId="794A51CA" w14:textId="77777777" w:rsidR="00EF750F" w:rsidRDefault="00EF750F" w:rsidP="00EF750F">
      <w:pPr>
        <w:pStyle w:val="Heading1"/>
      </w:pPr>
      <w:bookmarkStart w:id="4" w:name="_Toc28002347"/>
      <w:r>
        <w:t>Related documents</w:t>
      </w:r>
      <w:bookmarkEnd w:id="4"/>
    </w:p>
    <w:p w14:paraId="3330B330" w14:textId="6839F133" w:rsidR="00EF750F" w:rsidRDefault="00EF750F" w:rsidP="00C00376">
      <w:pPr>
        <w:pStyle w:val="BodyText"/>
      </w:pPr>
      <w:r>
        <w:t>Point of care tools (Appendices 1</w:t>
      </w:r>
      <w:r w:rsidR="008D3E9D">
        <w:t>–</w:t>
      </w:r>
      <w:r>
        <w:t>6)</w:t>
      </w:r>
    </w:p>
    <w:p w14:paraId="6E56F534" w14:textId="77777777" w:rsidR="00757ADC" w:rsidRDefault="00EF750F" w:rsidP="00C00376">
      <w:pPr>
        <w:pStyle w:val="BodyText"/>
      </w:pPr>
      <w:r>
        <w:t>Staphylococcus aureus Bloodstream investigation checklist (Appendix 7)</w:t>
      </w:r>
    </w:p>
    <w:p w14:paraId="1909B1A5" w14:textId="77777777" w:rsidR="00C00376" w:rsidRDefault="00C00376" w:rsidP="00C00376">
      <w:pPr>
        <w:pStyle w:val="Heading1"/>
      </w:pPr>
      <w:bookmarkStart w:id="5" w:name="_Toc28002348"/>
      <w:r>
        <w:t>Infection, Prevention and Control</w:t>
      </w:r>
      <w:bookmarkEnd w:id="5"/>
    </w:p>
    <w:p w14:paraId="23F0D432" w14:textId="77777777" w:rsidR="00C00376" w:rsidRDefault="00C00376" w:rsidP="00C00376">
      <w:pPr>
        <w:pStyle w:val="BodyText"/>
      </w:pPr>
      <w:r>
        <w:t>To ensure that the risk of healthcare associated infections and the burden of adverse health impacts are minimised, healthcare workers who insert, use/manage and remove intra-vascular devices (IVDs) must strictly implement standard precautions during the insertion, management and removal of all IVDs. Standard precautions encompass hand hygiene, aseptic technique (AT), environmental cleaning, the use of personal protective equipment, respiratory hygiene and cough etiquette, waste management, the reprocessing of reusable medical equipment and appropriate linen management.</w:t>
      </w:r>
      <w:r w:rsidRPr="00591AEC">
        <w:rPr>
          <w:vertAlign w:val="superscript"/>
        </w:rPr>
        <w:t>3, 6-10</w:t>
      </w:r>
      <w:r>
        <w:t xml:space="preserve"> Additionally, transmission-based precautions should be used where indicated by a patient’s suspected or confirmed colonisation or infection with an infectious agent.</w:t>
      </w:r>
      <w:r w:rsidRPr="00591AEC">
        <w:rPr>
          <w:vertAlign w:val="superscript"/>
        </w:rPr>
        <w:t>6-8, 11, 12</w:t>
      </w:r>
    </w:p>
    <w:p w14:paraId="6909400D" w14:textId="77777777" w:rsidR="00C00376" w:rsidRDefault="00C00376" w:rsidP="00C00376">
      <w:pPr>
        <w:pStyle w:val="BodyText"/>
      </w:pPr>
      <w:r>
        <w:t>In performing the “</w:t>
      </w:r>
      <w:hyperlink r:id="rId14" w:history="1">
        <w:r w:rsidRPr="00096257">
          <w:rPr>
            <w:rStyle w:val="Hyperlink"/>
          </w:rPr>
          <w:t>Five moments of hand hygiene</w:t>
        </w:r>
      </w:hyperlink>
      <w:r>
        <w:t>”</w:t>
      </w:r>
      <w:r w:rsidRPr="00591AEC">
        <w:rPr>
          <w:vertAlign w:val="superscript"/>
        </w:rPr>
        <w:t>5-7, 13</w:t>
      </w:r>
      <w:r>
        <w:t>,</w:t>
      </w:r>
      <w:r w:rsidR="00591AEC">
        <w:t xml:space="preserve"> </w:t>
      </w:r>
      <w:r>
        <w:t>the use of gloves does not replace the need for hand hygiene. Hand hygiene should be performed before touching an IVD or immediately before the insertion of a device</w:t>
      </w:r>
      <w:r w:rsidR="00591AEC">
        <w:t>.</w:t>
      </w:r>
      <w:r w:rsidRPr="00591AEC">
        <w:rPr>
          <w:vertAlign w:val="superscript"/>
        </w:rPr>
        <w:t>1, 3-10, 12, 14-17</w:t>
      </w:r>
      <w:r>
        <w:t xml:space="preserve"> </w:t>
      </w:r>
    </w:p>
    <w:p w14:paraId="22EB3447" w14:textId="77777777" w:rsidR="00C00376" w:rsidRDefault="00C00376" w:rsidP="00C00376">
      <w:pPr>
        <w:pStyle w:val="BodyText"/>
      </w:pPr>
      <w:r>
        <w:t>Strict adherence to the principles of AT should be adhered to when inserting, administering or providing care management to IVDs.</w:t>
      </w:r>
      <w:r w:rsidRPr="00591AEC">
        <w:rPr>
          <w:vertAlign w:val="superscript"/>
        </w:rPr>
        <w:t>3-5, 7, 8, 15</w:t>
      </w:r>
      <w:r>
        <w:t xml:space="preserve"> Non-</w:t>
      </w:r>
      <w:proofErr w:type="gramStart"/>
      <w:r>
        <w:t>adherence</w:t>
      </w:r>
      <w:proofErr w:type="gramEnd"/>
      <w:r>
        <w:t xml:space="preserve"> to the standardised principles of asepsis may lead to infection</w:t>
      </w:r>
      <w:r w:rsidR="00591AEC">
        <w:t>.</w:t>
      </w:r>
      <w:r w:rsidRPr="00591AEC">
        <w:rPr>
          <w:vertAlign w:val="superscript"/>
        </w:rPr>
        <w:t>3, 7, 8, 16, 19</w:t>
      </w:r>
      <w:r>
        <w:t xml:space="preserve"> See local facility procedures and education for more information about AT</w:t>
      </w:r>
      <w:r w:rsidR="00591AEC">
        <w:t>.</w:t>
      </w:r>
    </w:p>
    <w:p w14:paraId="34413D71" w14:textId="77777777" w:rsidR="00C00376" w:rsidRDefault="00C00376" w:rsidP="00C00376">
      <w:pPr>
        <w:pStyle w:val="BodyText"/>
      </w:pPr>
      <w:r>
        <w:lastRenderedPageBreak/>
        <w:t>Lastly, all medical devices, reusable equipment and instruments must be reprocessed between uses in accordance with AS/NZS 4187: Reprocessing of reusable medical devices in health service organisations</w:t>
      </w:r>
      <w:r w:rsidR="00591AEC" w:rsidRPr="00591AEC">
        <w:rPr>
          <w:vertAlign w:val="superscript"/>
        </w:rPr>
        <w:t>8</w:t>
      </w:r>
      <w:r>
        <w:t>, manufacturer recommendations and local facility procedures. Staff involved in the insertion, management and removal of IVDs should ensure that all equipment used is reprocessed as required before its use</w:t>
      </w:r>
      <w:r w:rsidR="00591AEC">
        <w:t>.</w:t>
      </w:r>
      <w:r w:rsidRPr="00591AEC">
        <w:rPr>
          <w:vertAlign w:val="superscript"/>
        </w:rPr>
        <w:t>7, 8, 20</w:t>
      </w:r>
    </w:p>
    <w:p w14:paraId="45DEF3FD" w14:textId="77777777" w:rsidR="00C00376" w:rsidRDefault="00C00376" w:rsidP="00C00376">
      <w:pPr>
        <w:pStyle w:val="Heading1"/>
      </w:pPr>
      <w:bookmarkStart w:id="6" w:name="_Toc28002349"/>
      <w:r>
        <w:t>Surveillance and Quality Improvement</w:t>
      </w:r>
      <w:bookmarkEnd w:id="6"/>
      <w:r>
        <w:t xml:space="preserve"> </w:t>
      </w:r>
    </w:p>
    <w:p w14:paraId="154305E2" w14:textId="77777777" w:rsidR="00C00376" w:rsidRDefault="00C00376" w:rsidP="00C00376">
      <w:pPr>
        <w:pStyle w:val="BodyText"/>
        <w:rPr>
          <w:vertAlign w:val="superscript"/>
        </w:rPr>
      </w:pPr>
      <w:r>
        <w:t xml:space="preserve">Reporting and surveillance on healthcare associated infections, primarily Staphylococcus aureus bloodstream infection is required under the National Healthcare Agreement as part of performance reporting. Queensland Health facilities are to establish a healthcare associated infection surveillance program in conjunction with the Australian Commission on Safety and Quality in Health Care </w:t>
      </w:r>
      <w:hyperlink r:id="rId15" w:history="1">
        <w:r w:rsidRPr="00096257">
          <w:rPr>
            <w:rStyle w:val="Hyperlink"/>
          </w:rPr>
          <w:t>Standard 3: Preventing and Controlling Healthcare Associated Infection Standard</w:t>
        </w:r>
      </w:hyperlink>
      <w:r>
        <w:t>. Staff involved in the insertion, management and removal of IVDs should be made aware of infection rates related to IVDs</w:t>
      </w:r>
      <w:r w:rsidR="00096257">
        <w:t>.</w:t>
      </w:r>
      <w:r w:rsidRPr="00096257">
        <w:rPr>
          <w:vertAlign w:val="superscript"/>
        </w:rPr>
        <w:t>5, 17</w:t>
      </w:r>
      <w:r>
        <w:t xml:space="preserve"> Data should be used to determine quality improvement activities to improve outcomes for patients and improve practice</w:t>
      </w:r>
      <w:r w:rsidR="00096257">
        <w:t>.</w:t>
      </w:r>
      <w:r w:rsidRPr="00096257">
        <w:rPr>
          <w:vertAlign w:val="superscript"/>
        </w:rPr>
        <w:t>4-6, 17</w:t>
      </w:r>
      <w:r>
        <w:t xml:space="preserve"> The practice of “bundled” interventions or a small group of principles interventions implemented collectively and correctly, should be used to improve outcomes.</w:t>
      </w:r>
      <w:r w:rsidRPr="00096257">
        <w:rPr>
          <w:vertAlign w:val="superscript"/>
        </w:rPr>
        <w:t>3, 4, 17</w:t>
      </w:r>
      <w:r>
        <w:t xml:space="preserve"> Practice for care and insertion should change as best evidence changes and ongoing training should occur where new procedures or products are introduced</w:t>
      </w:r>
      <w:r w:rsidR="00096257">
        <w:t>.</w:t>
      </w:r>
      <w:r w:rsidRPr="00096257">
        <w:rPr>
          <w:vertAlign w:val="superscript"/>
        </w:rPr>
        <w:t>5-7</w:t>
      </w:r>
    </w:p>
    <w:p w14:paraId="474561D4" w14:textId="77777777" w:rsidR="00096257" w:rsidRDefault="00096257" w:rsidP="00096257">
      <w:pPr>
        <w:pStyle w:val="Heading1"/>
      </w:pPr>
      <w:bookmarkStart w:id="7" w:name="_Toc28002350"/>
      <w:r>
        <w:t>Patient Considerations</w:t>
      </w:r>
      <w:bookmarkEnd w:id="7"/>
      <w:r>
        <w:t xml:space="preserve"> </w:t>
      </w:r>
    </w:p>
    <w:p w14:paraId="4BC6DABB" w14:textId="77777777" w:rsidR="00096257" w:rsidRDefault="00096257" w:rsidP="00096257">
      <w:pPr>
        <w:pStyle w:val="Heading2"/>
      </w:pPr>
      <w:bookmarkStart w:id="8" w:name="_Toc28002351"/>
      <w:r>
        <w:t>Patient Education</w:t>
      </w:r>
      <w:bookmarkEnd w:id="8"/>
    </w:p>
    <w:p w14:paraId="26C2142C" w14:textId="77777777" w:rsidR="00096257" w:rsidRDefault="00096257" w:rsidP="00096257">
      <w:pPr>
        <w:pStyle w:val="BodyText"/>
      </w:pPr>
      <w:r>
        <w:t>Each facility should have a procedure regarding education of patients and providing them with written and verbal information, in a way they can understand, about preventing infections associated with their IVDs.</w:t>
      </w:r>
      <w:r w:rsidRPr="00096257">
        <w:rPr>
          <w:vertAlign w:val="superscript"/>
        </w:rPr>
        <w:t>5, 6, 8</w:t>
      </w:r>
      <w:r>
        <w:t xml:space="preserve"> The provision of both written and verbal advice and ongoing education regarding the care of their specific IVD should be provided to the patient and their carer.</w:t>
      </w:r>
      <w:r w:rsidRPr="00096257">
        <w:rPr>
          <w:vertAlign w:val="superscript"/>
        </w:rPr>
        <w:t>6, 7</w:t>
      </w:r>
      <w:r>
        <w:t xml:space="preserve"> </w:t>
      </w:r>
    </w:p>
    <w:p w14:paraId="7E8CA676" w14:textId="77777777" w:rsidR="00096257" w:rsidRDefault="00096257" w:rsidP="00096257">
      <w:pPr>
        <w:pStyle w:val="BodyText"/>
      </w:pPr>
      <w:r>
        <w:t>Practical and theoretical training is recommended to be provided by clinicians that includes step-by-step instructions in text and images i.e. dressing changes, hygiene, flushing techniques and handling of the catheter.</w:t>
      </w:r>
    </w:p>
    <w:p w14:paraId="74DAEBD5" w14:textId="77777777" w:rsidR="00096257" w:rsidRDefault="00096257" w:rsidP="00096257">
      <w:pPr>
        <w:pStyle w:val="Heading2"/>
      </w:pPr>
      <w:bookmarkStart w:id="9" w:name="_Toc28002352"/>
      <w:r>
        <w:t>Consent</w:t>
      </w:r>
      <w:bookmarkEnd w:id="9"/>
    </w:p>
    <w:p w14:paraId="0D964B09" w14:textId="77777777" w:rsidR="00096257" w:rsidRDefault="00096257" w:rsidP="00096257">
      <w:pPr>
        <w:pStyle w:val="BodyText"/>
        <w:rPr>
          <w:vertAlign w:val="superscript"/>
        </w:rPr>
      </w:pPr>
      <w:r>
        <w:t>Informed consent is a legal right of the patient. Local procedures and legislation must be followed. Facilities should have a procedure for documenting consent and ensuring that the potential specific risks are discussed with the patient</w:t>
      </w:r>
      <w:r w:rsidRPr="00D779CD">
        <w:rPr>
          <w:vertAlign w:val="superscript"/>
        </w:rPr>
        <w:t>6, 8</w:t>
      </w:r>
      <w:r>
        <w:t xml:space="preserve"> for example, risk of infection during insertion, accessing or dressing changed of an IVD.</w:t>
      </w:r>
      <w:r w:rsidRPr="00D779CD">
        <w:rPr>
          <w:vertAlign w:val="superscript"/>
        </w:rPr>
        <w:t>6, 7</w:t>
      </w:r>
    </w:p>
    <w:p w14:paraId="59C94719" w14:textId="77777777" w:rsidR="00D779CD" w:rsidRDefault="00D779CD" w:rsidP="00096257">
      <w:pPr>
        <w:pStyle w:val="BodyText"/>
        <w:rPr>
          <w:vertAlign w:val="superscript"/>
        </w:rPr>
      </w:pPr>
      <w:r>
        <w:rPr>
          <w:vertAlign w:val="superscript"/>
        </w:rPr>
        <w:br w:type="page"/>
      </w:r>
    </w:p>
    <w:p w14:paraId="19B97814" w14:textId="77777777" w:rsidR="00D779CD" w:rsidRDefault="00D779CD" w:rsidP="00D779CD">
      <w:pPr>
        <w:pStyle w:val="Heading1"/>
      </w:pPr>
      <w:bookmarkStart w:id="10" w:name="_Toc28002353"/>
      <w:r>
        <w:lastRenderedPageBreak/>
        <w:t>Documentation</w:t>
      </w:r>
      <w:bookmarkEnd w:id="10"/>
    </w:p>
    <w:p w14:paraId="7B40639D" w14:textId="77777777" w:rsidR="00D779CD" w:rsidRDefault="00D779CD" w:rsidP="00D779CD">
      <w:pPr>
        <w:pStyle w:val="BodyText"/>
      </w:pPr>
      <w:r>
        <w:t>Insertion and care of an IVD should be documented as per local policy.</w:t>
      </w:r>
      <w:r w:rsidRPr="00D779CD">
        <w:rPr>
          <w:vertAlign w:val="superscript"/>
        </w:rPr>
        <w:t>7</w:t>
      </w:r>
      <w:r>
        <w:t xml:space="preserve"> At a minimum the date, time, type of device, gauge, dressing type, skin preparation used, inserter details and IVDs that are trimmable should have the overall length and measurement at skin documented at the time of insertion. Each dressing change or direct observation should also be documented in the patient care charts or as dictated by local procedure.</w:t>
      </w:r>
      <w:r w:rsidRPr="00D779CD">
        <w:rPr>
          <w:vertAlign w:val="superscript"/>
        </w:rPr>
        <w:t>6</w:t>
      </w:r>
    </w:p>
    <w:p w14:paraId="703A81C2" w14:textId="77777777" w:rsidR="00D779CD" w:rsidRDefault="00D779CD" w:rsidP="00D779CD">
      <w:pPr>
        <w:pStyle w:val="Heading1"/>
      </w:pPr>
      <w:bookmarkStart w:id="11" w:name="_Toc28002354"/>
      <w:r>
        <w:t>Catheter Selection</w:t>
      </w:r>
      <w:bookmarkEnd w:id="11"/>
    </w:p>
    <w:p w14:paraId="0F90D5E8" w14:textId="77777777" w:rsidR="00D779CD" w:rsidRDefault="00D779CD" w:rsidP="00D779CD">
      <w:pPr>
        <w:pStyle w:val="BodyText"/>
      </w:pPr>
      <w:r>
        <w:t>Correct catheter selection can reduce the risk of infection and other device related complications.</w:t>
      </w:r>
      <w:r w:rsidRPr="00D779CD">
        <w:rPr>
          <w:vertAlign w:val="superscript"/>
        </w:rPr>
        <w:t>5</w:t>
      </w:r>
      <w:r>
        <w:t xml:space="preserve"> An IVD that has the least number of lumens and smallest gauge required for patient management should be inserted.</w:t>
      </w:r>
      <w:r w:rsidRPr="00D779CD">
        <w:rPr>
          <w:vertAlign w:val="superscript"/>
        </w:rPr>
        <w:t>7, 14</w:t>
      </w:r>
      <w:r>
        <w:t xml:space="preserve"> </w:t>
      </w:r>
    </w:p>
    <w:p w14:paraId="426AE472" w14:textId="77777777" w:rsidR="00D779CD" w:rsidRDefault="00D779CD" w:rsidP="00D779CD">
      <w:pPr>
        <w:pStyle w:val="BodyText"/>
      </w:pPr>
      <w:r>
        <w:t xml:space="preserve">Catheter selection should be carefully considered before the commencement of therapy. The most appropriate device for the type of therapy, length of therapy, patient condition and patient lifestyle should be considered as early as possible. Consideration should be given to a central catheter if the duration of therapy is a week or greater or the therapy to be administered is a known vein irritant. Osmolality, pH, patient vasculature, potential adverse events associated with a </w:t>
      </w:r>
      <w:proofErr w:type="gramStart"/>
      <w:r>
        <w:t>particular catheter</w:t>
      </w:r>
      <w:proofErr w:type="gramEnd"/>
      <w:r>
        <w:t xml:space="preserve"> type and the ability or resources of a facility to care for a device need to be considered</w:t>
      </w:r>
      <w:r w:rsidR="00406F2D">
        <w:t>.</w:t>
      </w:r>
      <w:r w:rsidRPr="00406F2D">
        <w:rPr>
          <w:vertAlign w:val="superscript"/>
        </w:rPr>
        <w:t>6, 14, 17</w:t>
      </w:r>
      <w:r>
        <w:t xml:space="preserve"> </w:t>
      </w:r>
    </w:p>
    <w:p w14:paraId="19CAC7FA" w14:textId="77777777" w:rsidR="00D779CD" w:rsidRDefault="00D779CD" w:rsidP="00D779CD">
      <w:pPr>
        <w:pStyle w:val="Heading1"/>
      </w:pPr>
      <w:bookmarkStart w:id="12" w:name="_Toc28002355"/>
      <w:r>
        <w:t>Insertion</w:t>
      </w:r>
      <w:bookmarkEnd w:id="12"/>
    </w:p>
    <w:p w14:paraId="13667E24" w14:textId="77777777" w:rsidR="00D779CD" w:rsidRDefault="00D779CD" w:rsidP="00D779CD">
      <w:pPr>
        <w:pStyle w:val="BodyText"/>
      </w:pPr>
      <w:r>
        <w:t>Insertion Bundles are used to prevent insertion-related complications. A Central Venous Catheter (CVC) must have catheter length and measurement at skin, documented by the inserter. The “actual” CVC tip location must be documented by the inserter or medical officer.</w:t>
      </w:r>
    </w:p>
    <w:p w14:paraId="5E01E705" w14:textId="77777777" w:rsidR="00D779CD" w:rsidRDefault="00D779CD" w:rsidP="00D779CD">
      <w:pPr>
        <w:pStyle w:val="Heading1"/>
      </w:pPr>
      <w:bookmarkStart w:id="13" w:name="_Toc28002356"/>
      <w:r>
        <w:t>Insertion location</w:t>
      </w:r>
      <w:bookmarkEnd w:id="13"/>
    </w:p>
    <w:p w14:paraId="0A0890A6" w14:textId="77777777" w:rsidR="00D779CD" w:rsidRDefault="00D779CD" w:rsidP="00D779CD">
      <w:pPr>
        <w:pStyle w:val="BodyText"/>
      </w:pPr>
      <w:r>
        <w:t>Non-acute or routine insertion of an IVD should only take place where the clinician can assure that appropriate asepsis can be maintained. This may require a dedicated insertion space for some IVDs. Where a bedside insertion occurs, a clinician should ensure that control of the environment can be suitably maintained to prevent contamination of sterile or clean items and to ensure that the skin preparation prior to insertion is maintained.</w:t>
      </w:r>
    </w:p>
    <w:p w14:paraId="05A1DE04" w14:textId="77777777" w:rsidR="00D779CD" w:rsidRDefault="00D779CD" w:rsidP="00D779CD">
      <w:pPr>
        <w:pStyle w:val="Heading1"/>
      </w:pPr>
      <w:bookmarkStart w:id="14" w:name="_Toc28002357"/>
      <w:r>
        <w:t>Prophylactic antibiotics</w:t>
      </w:r>
      <w:bookmarkEnd w:id="14"/>
      <w:r>
        <w:t xml:space="preserve"> </w:t>
      </w:r>
    </w:p>
    <w:p w14:paraId="2DCEEB4A" w14:textId="77777777" w:rsidR="00D779CD" w:rsidRDefault="00D779CD" w:rsidP="00D779CD">
      <w:pPr>
        <w:pStyle w:val="BodyText"/>
      </w:pPr>
      <w:r>
        <w:t>The use of prophylactic antibiotics for the insertion of IVDs is not routinely recommended</w:t>
      </w:r>
      <w:r w:rsidR="00406F2D">
        <w:t>.</w:t>
      </w:r>
      <w:r w:rsidRPr="00406F2D">
        <w:rPr>
          <w:vertAlign w:val="superscript"/>
        </w:rPr>
        <w:t>3, 5, 7</w:t>
      </w:r>
      <w:r>
        <w:t xml:space="preserve"> </w:t>
      </w:r>
    </w:p>
    <w:p w14:paraId="76253352" w14:textId="77777777" w:rsidR="00D779CD" w:rsidRDefault="00D779CD" w:rsidP="00D779CD">
      <w:pPr>
        <w:pStyle w:val="Heading1"/>
      </w:pPr>
      <w:bookmarkStart w:id="15" w:name="_Toc28002358"/>
      <w:r>
        <w:lastRenderedPageBreak/>
        <w:t>Catheter site selection</w:t>
      </w:r>
      <w:bookmarkEnd w:id="15"/>
      <w:r>
        <w:t xml:space="preserve"> </w:t>
      </w:r>
    </w:p>
    <w:p w14:paraId="0C2ECEE6" w14:textId="77777777" w:rsidR="00D779CD" w:rsidRDefault="00D779CD" w:rsidP="00D779CD">
      <w:pPr>
        <w:pStyle w:val="BodyText"/>
      </w:pPr>
      <w:r>
        <w:t>The choice of IVD insertion site should be determined by its indication, anatomical variation, risk of infection, risk of mechanical complication, patient comfort and its intended use</w:t>
      </w:r>
      <w:r w:rsidR="00406F2D">
        <w:t>.</w:t>
      </w:r>
      <w:r w:rsidRPr="00406F2D">
        <w:rPr>
          <w:vertAlign w:val="superscript"/>
        </w:rPr>
        <w:t>5-7, 23</w:t>
      </w:r>
      <w:r>
        <w:t xml:space="preserve"> Site selection can have an impact on the infection risk and other complications for the patient.</w:t>
      </w:r>
      <w:r w:rsidRPr="00406F2D">
        <w:rPr>
          <w:vertAlign w:val="superscript"/>
        </w:rPr>
        <w:t xml:space="preserve">3-5, 23 </w:t>
      </w:r>
      <w:r>
        <w:t>This should be considered when selecting the insertion site.</w:t>
      </w:r>
    </w:p>
    <w:p w14:paraId="7AC3F5A3" w14:textId="77777777" w:rsidR="00406F2D" w:rsidRDefault="00406F2D" w:rsidP="00406F2D">
      <w:pPr>
        <w:pStyle w:val="Heading1"/>
      </w:pPr>
      <w:bookmarkStart w:id="16" w:name="_Toc28002359"/>
      <w:r>
        <w:t>Maximal barrier precautions</w:t>
      </w:r>
      <w:bookmarkEnd w:id="16"/>
    </w:p>
    <w:p w14:paraId="4AB3753C" w14:textId="77777777" w:rsidR="00406F2D" w:rsidRDefault="00406F2D" w:rsidP="00406F2D">
      <w:pPr>
        <w:pStyle w:val="BodyText"/>
      </w:pPr>
      <w:r>
        <w:t>The insertion of a CVC requires the use of maximal barrier precautions, including the use of sterile gloves and sterile gown to be worn by all staff involved in the procedure and sterile drapes</w:t>
      </w:r>
      <w:r w:rsidR="00E33541">
        <w:t>.</w:t>
      </w:r>
      <w:r w:rsidRPr="00E33541">
        <w:rPr>
          <w:vertAlign w:val="superscript"/>
        </w:rPr>
        <w:t>3-5, 7</w:t>
      </w:r>
      <w:r>
        <w:t xml:space="preserve"> Equipment and techniques for achieving this will vary in each facility.</w:t>
      </w:r>
    </w:p>
    <w:p w14:paraId="61A564EC" w14:textId="77777777" w:rsidR="00406F2D" w:rsidRDefault="00406F2D" w:rsidP="00406F2D">
      <w:pPr>
        <w:pStyle w:val="Heading1"/>
      </w:pPr>
      <w:bookmarkStart w:id="17" w:name="_Toc28002360"/>
      <w:r>
        <w:t>Skin preparation at insertion site</w:t>
      </w:r>
      <w:bookmarkEnd w:id="17"/>
    </w:p>
    <w:p w14:paraId="211DA1AE" w14:textId="77777777" w:rsidR="00406F2D" w:rsidRDefault="00406F2D" w:rsidP="00406F2D">
      <w:pPr>
        <w:pStyle w:val="BodyText"/>
      </w:pPr>
      <w:r>
        <w:t xml:space="preserve">Appropriate skin preparation will reduce the risk of infection and other device complications. Hair should be removed from around the insertion site to an area slightly larger than the area of the dressing to allow for adherence of the dressing to skin. Hair should be removed by clippers, not shaved. </w:t>
      </w:r>
    </w:p>
    <w:p w14:paraId="08D051ED" w14:textId="7A3349D4" w:rsidR="00406F2D" w:rsidRDefault="00406F2D" w:rsidP="00406F2D">
      <w:pPr>
        <w:pStyle w:val="BodyText"/>
      </w:pPr>
      <w:r>
        <w:t>If the area is visibly soiled, soap and water can be used to clean the area and dried prior to the use of disinfectant. A 2</w:t>
      </w:r>
      <w:r w:rsidR="00D52D63">
        <w:t xml:space="preserve">percent </w:t>
      </w:r>
      <w:r>
        <w:t>Chlorhexidine and 70</w:t>
      </w:r>
      <w:r w:rsidR="00D52D63">
        <w:t xml:space="preserve">percent </w:t>
      </w:r>
      <w:r>
        <w:t>alcohol solution should always be used for skin preparation prior to the insertion of IVDs and allowed to air dry</w:t>
      </w:r>
      <w:r w:rsidR="00E33541">
        <w:t>.</w:t>
      </w:r>
      <w:r w:rsidRPr="00E33541">
        <w:rPr>
          <w:vertAlign w:val="superscript"/>
        </w:rPr>
        <w:t>3-5, 7, 24</w:t>
      </w:r>
      <w:r>
        <w:t xml:space="preserve"> Single use applicators should be used, such as 70</w:t>
      </w:r>
      <w:r w:rsidR="00D52D63">
        <w:t xml:space="preserve">percent </w:t>
      </w:r>
      <w:r>
        <w:t>alcohol and 2</w:t>
      </w:r>
      <w:r w:rsidR="00D52D63">
        <w:t xml:space="preserve">percent </w:t>
      </w:r>
      <w:r>
        <w:t xml:space="preserve">chlorhexidine impregnated swab sticks or </w:t>
      </w:r>
      <w:r w:rsidRPr="00E33541">
        <w:rPr>
          <w:vertAlign w:val="superscript"/>
        </w:rPr>
        <w:t>7, 25</w:t>
      </w:r>
      <w:r>
        <w:t xml:space="preserve"> </w:t>
      </w:r>
      <w:r w:rsidR="00E33541">
        <w:t>a</w:t>
      </w:r>
      <w:r>
        <w:t>llow the solution to dry.</w:t>
      </w:r>
    </w:p>
    <w:p w14:paraId="3AE3B00A" w14:textId="77777777" w:rsidR="00406F2D" w:rsidRDefault="00406F2D" w:rsidP="00406F2D">
      <w:pPr>
        <w:pStyle w:val="BodyText"/>
      </w:pPr>
      <w:r>
        <w:t>Palpation of the insertion site should not be performed after the application of antiseptics unless AT is maintained.</w:t>
      </w:r>
    </w:p>
    <w:p w14:paraId="4BE53949" w14:textId="77777777" w:rsidR="00406F2D" w:rsidRDefault="00406F2D" w:rsidP="00406F2D">
      <w:pPr>
        <w:pStyle w:val="BodyText"/>
      </w:pPr>
      <w:r>
        <w:t xml:space="preserve">Please note: Swab sticks are not sterile. If the operator uses the swab stick to disinfect the skin, they should change gloves and perform hand hygiene. </w:t>
      </w:r>
    </w:p>
    <w:p w14:paraId="33D39490" w14:textId="77777777" w:rsidR="00406F2D" w:rsidRDefault="00406F2D" w:rsidP="00406F2D">
      <w:pPr>
        <w:pStyle w:val="BodyText"/>
      </w:pPr>
      <w:r>
        <w:t>Alternative solutions, such as povidone iodine and alcohol or aqueous chlorhexidine, should be available for those that have an allergy to one or more of the active ingredients</w:t>
      </w:r>
      <w:r w:rsidR="00E33541">
        <w:t>.</w:t>
      </w:r>
      <w:r w:rsidRPr="00E33541">
        <w:rPr>
          <w:vertAlign w:val="superscript"/>
        </w:rPr>
        <w:t xml:space="preserve">3, 7 </w:t>
      </w:r>
    </w:p>
    <w:p w14:paraId="56F7397E" w14:textId="77777777" w:rsidR="00406F2D" w:rsidRDefault="00406F2D" w:rsidP="00406F2D">
      <w:pPr>
        <w:pStyle w:val="BodyText"/>
      </w:pPr>
      <w:r>
        <w:t xml:space="preserve">Multiple applications of the solution may be required. The area prepared should be slightly larger than the final dressing area and may be additionally dependent on any drapes that are required for insertion.  </w:t>
      </w:r>
    </w:p>
    <w:p w14:paraId="6565872A" w14:textId="77777777" w:rsidR="00406F2D" w:rsidRDefault="00406F2D" w:rsidP="00406F2D">
      <w:pPr>
        <w:pStyle w:val="Heading1"/>
      </w:pPr>
      <w:bookmarkStart w:id="18" w:name="_Toc28002361"/>
      <w:r>
        <w:t>Post insertion care, dressing types and replacement intervals</w:t>
      </w:r>
      <w:bookmarkEnd w:id="18"/>
      <w:r>
        <w:t xml:space="preserve"> </w:t>
      </w:r>
    </w:p>
    <w:p w14:paraId="02FF41C9" w14:textId="77777777" w:rsidR="00406F2D" w:rsidRDefault="00406F2D" w:rsidP="00406F2D">
      <w:pPr>
        <w:pStyle w:val="BodyText"/>
      </w:pPr>
      <w:r>
        <w:t>The dressing used on any IVD will be decided by local policy, purchasing arrangements and patient requirements including skin integrity</w:t>
      </w:r>
      <w:r w:rsidR="00E33541">
        <w:t>.</w:t>
      </w:r>
      <w:r w:rsidRPr="00E33541">
        <w:rPr>
          <w:vertAlign w:val="superscript"/>
        </w:rPr>
        <w:t xml:space="preserve">6, 26 </w:t>
      </w:r>
      <w:r>
        <w:t xml:space="preserve">Some device dressings may require a competency to be completed before a healthcare worker carries out the procedure. </w:t>
      </w:r>
    </w:p>
    <w:p w14:paraId="158B623C" w14:textId="1CA4382A" w:rsidR="00406F2D" w:rsidRDefault="00406F2D" w:rsidP="00406F2D">
      <w:pPr>
        <w:pStyle w:val="BodyText"/>
      </w:pPr>
      <w:r>
        <w:lastRenderedPageBreak/>
        <w:t xml:space="preserve">Sterile, transparent, semi-permeable dressings may have a dwell time of up to </w:t>
      </w:r>
      <w:r w:rsidR="00D52D63">
        <w:t xml:space="preserve">7 </w:t>
      </w:r>
      <w:r>
        <w:t>day</w:t>
      </w:r>
      <w:r w:rsidR="00E33541">
        <w:t>s.</w:t>
      </w:r>
      <w:r w:rsidRPr="00E33541">
        <w:rPr>
          <w:vertAlign w:val="superscript"/>
        </w:rPr>
        <w:t>3-7</w:t>
      </w:r>
      <w:r>
        <w:t xml:space="preserve"> Semi permeable dressings are only changed in neonates when wet or the integrity is breached due to increased risk for skin trauma</w:t>
      </w:r>
      <w:r w:rsidR="00E33541">
        <w:t>.</w:t>
      </w:r>
      <w:r w:rsidR="00E33541" w:rsidRPr="00E33541">
        <w:rPr>
          <w:vertAlign w:val="superscript"/>
        </w:rPr>
        <w:t>3</w:t>
      </w:r>
      <w:r>
        <w:t xml:space="preserve"> Local policy and manufacturer recommendations should be followed. </w:t>
      </w:r>
    </w:p>
    <w:p w14:paraId="1F4463B4" w14:textId="0A2E1DB9" w:rsidR="00406F2D" w:rsidRDefault="00406F2D" w:rsidP="00406F2D">
      <w:pPr>
        <w:pStyle w:val="BodyText"/>
      </w:pPr>
      <w:r>
        <w:t>Transparent dressings allow visualisation of the insertion site and in certain circumstances, are less likely to allow dislodgement</w:t>
      </w:r>
      <w:r w:rsidR="00E33541">
        <w:t>.</w:t>
      </w:r>
      <w:r w:rsidRPr="00E33541">
        <w:rPr>
          <w:vertAlign w:val="superscript"/>
        </w:rPr>
        <w:t>27</w:t>
      </w:r>
      <w:r>
        <w:t xml:space="preserve"> Where gauze dressings are used</w:t>
      </w:r>
      <w:r w:rsidR="00D52D63">
        <w:t>,</w:t>
      </w:r>
      <w:r>
        <w:t xml:space="preserve"> they should be changed at least</w:t>
      </w:r>
      <w:r w:rsidR="006B48CA">
        <w:t xml:space="preserve"> every</w:t>
      </w:r>
      <w:r>
        <w:t xml:space="preserve"> </w:t>
      </w:r>
      <w:r w:rsidRPr="006B48CA">
        <w:t>second day</w:t>
      </w:r>
      <w:r w:rsidRPr="00E33541">
        <w:rPr>
          <w:vertAlign w:val="superscript"/>
        </w:rPr>
        <w:t>3, 4</w:t>
      </w:r>
      <w:r w:rsidR="00E33541">
        <w:t xml:space="preserve"> </w:t>
      </w:r>
      <w:r>
        <w:t>and when the exit site is not visualised, palpation of the site should form part of the daily assessment</w:t>
      </w:r>
      <w:r w:rsidR="00E33541">
        <w:t>.</w:t>
      </w:r>
      <w:r w:rsidRPr="00E33541">
        <w:rPr>
          <w:vertAlign w:val="superscript"/>
        </w:rPr>
        <w:t>6</w:t>
      </w:r>
    </w:p>
    <w:p w14:paraId="1DB1BAF2" w14:textId="77777777" w:rsidR="00406F2D" w:rsidRDefault="00406F2D" w:rsidP="00406F2D">
      <w:pPr>
        <w:pStyle w:val="BodyText"/>
      </w:pPr>
      <w:r>
        <w:t xml:space="preserve">If a gauze is used under a transparent dressing post insertion, the dressing should be removed, and the gauze removed after 24 hours and replaced with a transparent dressing as per local policy. Removal of the dressing for visual inspection should occur if there is any suspicion of infection. </w:t>
      </w:r>
    </w:p>
    <w:p w14:paraId="465DA57D" w14:textId="77777777" w:rsidR="00406F2D" w:rsidRDefault="00406F2D" w:rsidP="00406F2D">
      <w:pPr>
        <w:pStyle w:val="BodyText"/>
      </w:pPr>
      <w:r>
        <w:t>Any dressing that becomes soiled, wet, damaged, is no longer adherent, has visible ooze under it or starts to lift should be changed immediately</w:t>
      </w:r>
      <w:r w:rsidR="00E33541">
        <w:t>.</w:t>
      </w:r>
      <w:r w:rsidRPr="00E33541">
        <w:rPr>
          <w:vertAlign w:val="superscript"/>
        </w:rPr>
        <w:t>3, 5, 6, 28</w:t>
      </w:r>
      <w:r>
        <w:t xml:space="preserve"> IVDs and their dressings should never be submerged in water</w:t>
      </w:r>
      <w:r w:rsidR="00E33541">
        <w:t>.</w:t>
      </w:r>
      <w:r w:rsidRPr="00E33541">
        <w:rPr>
          <w:vertAlign w:val="superscript"/>
        </w:rPr>
        <w:t>3</w:t>
      </w:r>
      <w:r>
        <w:t xml:space="preserve"> The use of a chlorhexidine impregnated sponges may be considered to prevent extraluminally-transmitted infection.</w:t>
      </w:r>
      <w:r w:rsidRPr="00E33541">
        <w:rPr>
          <w:vertAlign w:val="superscript"/>
        </w:rPr>
        <w:t xml:space="preserve">3, 5, 7, 29 </w:t>
      </w:r>
    </w:p>
    <w:p w14:paraId="11A28282" w14:textId="4D3BC19C" w:rsidR="00406F2D" w:rsidRDefault="00406F2D" w:rsidP="00406F2D">
      <w:pPr>
        <w:pStyle w:val="BodyText"/>
        <w:rPr>
          <w:vertAlign w:val="superscript"/>
        </w:rPr>
      </w:pPr>
      <w:r>
        <w:t>A 2</w:t>
      </w:r>
      <w:r w:rsidR="00D52D63">
        <w:t xml:space="preserve">percent </w:t>
      </w:r>
      <w:r>
        <w:t>Chlorhexidine and 70</w:t>
      </w:r>
      <w:r w:rsidR="00D52D63">
        <w:t>percent</w:t>
      </w:r>
      <w:r>
        <w:t xml:space="preserve"> alcohol solutions (or a solution or the same as that used to prepare the skin for the insertion), should be used to clean the area around the catheter during dressing changes and the area that will be covered and allowed to dry before covering again</w:t>
      </w:r>
      <w:r w:rsidR="00E33541">
        <w:t>.</w:t>
      </w:r>
      <w:r w:rsidRPr="00E33541">
        <w:rPr>
          <w:vertAlign w:val="superscript"/>
        </w:rPr>
        <w:t>3, 5, 7, 24</w:t>
      </w:r>
      <w:r>
        <w:t xml:space="preserve"> Aseptic technique should be adhered to during a dressing change</w:t>
      </w:r>
      <w:r w:rsidR="00E33541">
        <w:t>.</w:t>
      </w:r>
      <w:r w:rsidRPr="00E33541">
        <w:rPr>
          <w:vertAlign w:val="superscript"/>
        </w:rPr>
        <w:t>3, 4, 6, 7</w:t>
      </w:r>
    </w:p>
    <w:p w14:paraId="22755D64" w14:textId="77777777" w:rsidR="00D52D63" w:rsidRDefault="00D52D63" w:rsidP="00D52D63">
      <w:pPr>
        <w:pStyle w:val="BodyText"/>
      </w:pPr>
      <w:r>
        <w:t>Use chlorhexidine -impregnated dressings with caution in premature neonates and among patients with fragile skin/and or complicated skin pathologies; contact dermatitis and pressure necrosis have occurred.</w:t>
      </w:r>
    </w:p>
    <w:p w14:paraId="0B8C8698" w14:textId="77777777" w:rsidR="00D52D63" w:rsidRDefault="00D52D63" w:rsidP="00D52D63">
      <w:pPr>
        <w:pStyle w:val="BodyText"/>
      </w:pPr>
      <w:r>
        <w:t>Topical antibiotic ointments or creams should not be routinely used on insertion sites.</w:t>
      </w:r>
      <w:r w:rsidRPr="00D52D63">
        <w:rPr>
          <w:vertAlign w:val="superscript"/>
        </w:rPr>
        <w:t>3</w:t>
      </w:r>
      <w:r>
        <w:t xml:space="preserve"> </w:t>
      </w:r>
    </w:p>
    <w:p w14:paraId="7862E4D4" w14:textId="77777777" w:rsidR="0022043E" w:rsidRDefault="00D52D63" w:rsidP="00D52D63">
      <w:pPr>
        <w:pStyle w:val="BodyText"/>
      </w:pPr>
      <w:r>
        <w:t>Please refer to your local procedure regarding dressing changes in your facility for more information.</w:t>
      </w:r>
    </w:p>
    <w:p w14:paraId="1EED23CF" w14:textId="77777777" w:rsidR="0022043E" w:rsidRDefault="0022043E" w:rsidP="0058056F">
      <w:pPr>
        <w:pStyle w:val="Heading1"/>
      </w:pPr>
      <w:bookmarkStart w:id="19" w:name="_Toc28002362"/>
      <w:r>
        <w:t>Securement devices</w:t>
      </w:r>
      <w:bookmarkEnd w:id="19"/>
    </w:p>
    <w:p w14:paraId="0A838BC7" w14:textId="3298E3D4" w:rsidR="0022043E" w:rsidRDefault="0022043E" w:rsidP="0022043E">
      <w:pPr>
        <w:pStyle w:val="BodyText"/>
      </w:pPr>
      <w:r>
        <w:t xml:space="preserve">It is recommended that a </w:t>
      </w:r>
      <w:proofErr w:type="spellStart"/>
      <w:r>
        <w:t>sutureless</w:t>
      </w:r>
      <w:proofErr w:type="spellEnd"/>
      <w:r>
        <w:t xml:space="preserve"> securement device is used to reduce the risk of infection</w:t>
      </w:r>
      <w:r w:rsidR="00BB008C">
        <w:t>.</w:t>
      </w:r>
      <w:r w:rsidRPr="00BB008C">
        <w:rPr>
          <w:vertAlign w:val="superscript"/>
        </w:rPr>
        <w:t>3, 4</w:t>
      </w:r>
    </w:p>
    <w:p w14:paraId="73960105" w14:textId="77777777" w:rsidR="0022043E" w:rsidRDefault="0022043E" w:rsidP="0022043E">
      <w:pPr>
        <w:pStyle w:val="BodyText"/>
      </w:pPr>
      <w:r>
        <w:t xml:space="preserve">Securement devices should not obscure the site, impair circulation and flow of </w:t>
      </w:r>
      <w:proofErr w:type="spellStart"/>
      <w:r>
        <w:t>infusates</w:t>
      </w:r>
      <w:proofErr w:type="spellEnd"/>
      <w:r>
        <w:t>. Use a securement device that does not have the potential to harbour pathogenic organisms.</w:t>
      </w:r>
    </w:p>
    <w:p w14:paraId="5CB211B4" w14:textId="087F4EE6" w:rsidR="0022043E" w:rsidRDefault="0022043E" w:rsidP="0022043E">
      <w:pPr>
        <w:pStyle w:val="BodyText"/>
      </w:pPr>
      <w:r>
        <w:t xml:space="preserve">Replace secondary securement device every </w:t>
      </w:r>
      <w:r w:rsidR="00775447">
        <w:t xml:space="preserve">7 </w:t>
      </w:r>
      <w:r>
        <w:t>days or when clinically indicated.</w:t>
      </w:r>
    </w:p>
    <w:p w14:paraId="365E0E04" w14:textId="77777777" w:rsidR="0022043E" w:rsidRDefault="0022043E" w:rsidP="0058056F">
      <w:pPr>
        <w:pStyle w:val="Heading1"/>
      </w:pPr>
      <w:bookmarkStart w:id="20" w:name="_Toc28002363"/>
      <w:r>
        <w:t>Device review</w:t>
      </w:r>
      <w:bookmarkEnd w:id="20"/>
    </w:p>
    <w:p w14:paraId="514C914F" w14:textId="071115BE" w:rsidR="0022043E" w:rsidRDefault="0022043E" w:rsidP="0022043E">
      <w:pPr>
        <w:pStyle w:val="BodyText"/>
      </w:pPr>
      <w:r>
        <w:t>The ongoing need for the device should be reviewed daily. All IVDs and dressings should be reviewed daily, at a minimum</w:t>
      </w:r>
      <w:r w:rsidRPr="00BB008C">
        <w:rPr>
          <w:vertAlign w:val="superscript"/>
        </w:rPr>
        <w:t>3, 6, 7, 30</w:t>
      </w:r>
      <w:r>
        <w:t xml:space="preserve"> and ideally more often</w:t>
      </w:r>
      <w:r w:rsidR="00BB008C">
        <w:t>.</w:t>
      </w:r>
      <w:r w:rsidRPr="00BB008C">
        <w:rPr>
          <w:vertAlign w:val="superscript"/>
        </w:rPr>
        <w:t xml:space="preserve">6, 28 </w:t>
      </w:r>
      <w:r>
        <w:t>Insertion sites should be assessed for erythema, exudate, swelling, tenderness, pain and swelling</w:t>
      </w:r>
      <w:r w:rsidR="00BB008C">
        <w:t>.</w:t>
      </w:r>
      <w:r w:rsidRPr="00BB008C">
        <w:rPr>
          <w:vertAlign w:val="superscript"/>
        </w:rPr>
        <w:t>3, 6, 30</w:t>
      </w:r>
    </w:p>
    <w:p w14:paraId="016F6616" w14:textId="183CA917" w:rsidR="0022043E" w:rsidRDefault="0022043E" w:rsidP="0022043E">
      <w:pPr>
        <w:pStyle w:val="BodyText"/>
      </w:pPr>
      <w:r>
        <w:lastRenderedPageBreak/>
        <w:t>The length of catheter should be checked, when relevant, as well as the integrity of the securement device, needleless connectors, dressing and attached lines</w:t>
      </w:r>
      <w:r w:rsidR="005424E1">
        <w:t>.</w:t>
      </w:r>
      <w:r w:rsidRPr="005424E1">
        <w:rPr>
          <w:vertAlign w:val="superscript"/>
        </w:rPr>
        <w:t>6</w:t>
      </w:r>
      <w:r>
        <w:t xml:space="preserve"> Patency of all lumens should be assessed</w:t>
      </w:r>
      <w:r w:rsidR="005424E1">
        <w:t>.</w:t>
      </w:r>
      <w:r w:rsidRPr="005424E1">
        <w:rPr>
          <w:vertAlign w:val="superscript"/>
        </w:rPr>
        <w:t>6</w:t>
      </w:r>
      <w:r>
        <w:t xml:space="preserve"> </w:t>
      </w:r>
    </w:p>
    <w:p w14:paraId="29ABFA10" w14:textId="6510D810" w:rsidR="0022043E" w:rsidRDefault="0022043E" w:rsidP="0022043E">
      <w:pPr>
        <w:pStyle w:val="BodyText"/>
      </w:pPr>
      <w:r>
        <w:t>Patients should be educated to inform staff if they have any concerns or notice changes at the insertion site and</w:t>
      </w:r>
      <w:r w:rsidRPr="005424E1">
        <w:rPr>
          <w:vertAlign w:val="superscript"/>
        </w:rPr>
        <w:t>3</w:t>
      </w:r>
      <w:r>
        <w:t xml:space="preserve"> to request hand hygiene by those accessing their line. </w:t>
      </w:r>
    </w:p>
    <w:p w14:paraId="45A507C3" w14:textId="3735F618" w:rsidR="0022043E" w:rsidRDefault="0022043E" w:rsidP="0022043E">
      <w:pPr>
        <w:pStyle w:val="BodyText"/>
      </w:pPr>
      <w:r>
        <w:t>Signs of systemic infection should be monitored. Infection caused by a line may not have physical signs at the insertion site</w:t>
      </w:r>
      <w:r w:rsidR="005424E1">
        <w:t>.</w:t>
      </w:r>
      <w:r w:rsidRPr="005424E1">
        <w:rPr>
          <w:vertAlign w:val="superscript"/>
        </w:rPr>
        <w:t>3</w:t>
      </w:r>
    </w:p>
    <w:p w14:paraId="6727A1E9" w14:textId="77777777" w:rsidR="0022043E" w:rsidRDefault="0022043E" w:rsidP="0058056F">
      <w:pPr>
        <w:pStyle w:val="Heading1"/>
      </w:pPr>
      <w:bookmarkStart w:id="21" w:name="_Toc28002364"/>
      <w:r>
        <w:t>Flushing and locking</w:t>
      </w:r>
      <w:bookmarkEnd w:id="21"/>
    </w:p>
    <w:p w14:paraId="767B5689" w14:textId="77777777" w:rsidR="0022043E" w:rsidRDefault="0022043E" w:rsidP="0022043E">
      <w:pPr>
        <w:pStyle w:val="BodyText"/>
      </w:pPr>
      <w:r>
        <w:t xml:space="preserve">Flushing and locking reduce microbial growth and the risks of infection from bacteria entering through the site portal of entry.  </w:t>
      </w:r>
    </w:p>
    <w:p w14:paraId="74B3BF60" w14:textId="34E16C42" w:rsidR="0022043E" w:rsidRDefault="0022043E" w:rsidP="0022043E">
      <w:pPr>
        <w:pStyle w:val="BodyText"/>
      </w:pPr>
      <w:r>
        <w:t>A locally approved policy that defines procedures that must be followed by a clinician when flushing and locking intravascular device</w:t>
      </w:r>
      <w:r w:rsidR="009A3443">
        <w:t>.</w:t>
      </w:r>
    </w:p>
    <w:p w14:paraId="2EC1BE96" w14:textId="57E8FC17" w:rsidR="0022043E" w:rsidRDefault="0022043E" w:rsidP="0022043E">
      <w:pPr>
        <w:pStyle w:val="BodyText"/>
      </w:pPr>
      <w:r>
        <w:t>The following processes and key recommendations should be considered</w:t>
      </w:r>
      <w:r w:rsidR="009A3443">
        <w:t>:</w:t>
      </w:r>
    </w:p>
    <w:p w14:paraId="59B94BF2" w14:textId="10AF870D" w:rsidR="0022043E" w:rsidRDefault="0022043E" w:rsidP="009A3443">
      <w:pPr>
        <w:pStyle w:val="ListBullet"/>
      </w:pPr>
      <w:r>
        <w:t xml:space="preserve">Wherever possible, continuous intravenous fluids should be administered by an infusion pump. </w:t>
      </w:r>
    </w:p>
    <w:p w14:paraId="34A35962" w14:textId="06419ACC" w:rsidR="0022043E" w:rsidRDefault="0022043E" w:rsidP="009A3443">
      <w:pPr>
        <w:pStyle w:val="ListBullet"/>
      </w:pPr>
      <w:r>
        <w:t>Consult manufacturer’s instructions regarding best practice for flushing.</w:t>
      </w:r>
    </w:p>
    <w:p w14:paraId="79A8CF9A" w14:textId="0E832D53" w:rsidR="0022043E" w:rsidRDefault="0022043E" w:rsidP="009A3443">
      <w:pPr>
        <w:pStyle w:val="ListBullet"/>
      </w:pPr>
      <w:r>
        <w:t xml:space="preserve">In fluid restricted patients, such as paediatric patients, manufacturer stated minimum flush volumes should be noted. </w:t>
      </w:r>
    </w:p>
    <w:p w14:paraId="5C314054" w14:textId="7D1D9043" w:rsidR="0022043E" w:rsidRDefault="0022043E" w:rsidP="009A3443">
      <w:pPr>
        <w:pStyle w:val="ListBullet"/>
      </w:pPr>
      <w:r>
        <w:t>Manufacturer’s recommended size of syringe to be used to flush or access the catheter stated by the manufacturer should always be adhered.</w:t>
      </w:r>
    </w:p>
    <w:p w14:paraId="687DBA3E" w14:textId="7459ED6C" w:rsidR="0022043E" w:rsidRDefault="0022043E" w:rsidP="009A3443">
      <w:pPr>
        <w:pStyle w:val="ListBullet"/>
      </w:pPr>
      <w:r>
        <w:t xml:space="preserve">In most cases, 0.9% saline solutions are </w:t>
      </w:r>
      <w:proofErr w:type="gramStart"/>
      <w:r>
        <w:t>sufficient</w:t>
      </w:r>
      <w:proofErr w:type="gramEnd"/>
      <w:r>
        <w:t xml:space="preserve"> for flushing and locking catheters.</w:t>
      </w:r>
    </w:p>
    <w:p w14:paraId="3A5ED3A9" w14:textId="1CA35436" w:rsidR="0022043E" w:rsidRDefault="0022043E" w:rsidP="009A3443">
      <w:pPr>
        <w:pStyle w:val="ListBullet"/>
      </w:pPr>
      <w:r>
        <w:t>Single access vials should always be used. Please consult local guidelines.</w:t>
      </w:r>
    </w:p>
    <w:p w14:paraId="62EACCE4" w14:textId="77777777" w:rsidR="0022043E" w:rsidRDefault="0022043E" w:rsidP="0058056F">
      <w:pPr>
        <w:pStyle w:val="Heading1"/>
      </w:pPr>
      <w:bookmarkStart w:id="22" w:name="_Toc28002365"/>
      <w:r>
        <w:t>Replacement of IV fluids</w:t>
      </w:r>
      <w:bookmarkEnd w:id="22"/>
    </w:p>
    <w:p w14:paraId="291430B7" w14:textId="64C32024" w:rsidR="00D52D63" w:rsidRDefault="0022043E" w:rsidP="0022043E">
      <w:pPr>
        <w:pStyle w:val="BodyText"/>
      </w:pPr>
      <w:r>
        <w:t xml:space="preserve">To prevent microbial growth in intravenous fluids at a given room temperature and prevent infection, please see Table 1 for the recommended maximum replacement interval of IV fluids after being accessed. </w:t>
      </w:r>
      <w:r w:rsidR="00D52D63">
        <w:br w:type="page"/>
      </w:r>
    </w:p>
    <w:p w14:paraId="069D9880" w14:textId="41F63F5B" w:rsidR="00D52D63" w:rsidRDefault="009A3443" w:rsidP="00D52D63">
      <w:pPr>
        <w:pStyle w:val="BodyText"/>
        <w:rPr>
          <w:rFonts w:ascii="Fira Sans SemiBold" w:hAnsi="Fira Sans SemiBold"/>
        </w:rPr>
      </w:pPr>
      <w:r w:rsidRPr="009A3443">
        <w:rPr>
          <w:rFonts w:ascii="Fira Sans SemiBold" w:hAnsi="Fira Sans SemiBold"/>
        </w:rPr>
        <w:lastRenderedPageBreak/>
        <w:t>Table 1: Recommended IV fluid replacement interval</w:t>
      </w:r>
    </w:p>
    <w:tbl>
      <w:tblPr>
        <w:tblW w:w="881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5"/>
        <w:gridCol w:w="2812"/>
      </w:tblGrid>
      <w:tr w:rsidR="002A3476" w14:paraId="6B578302" w14:textId="77895066" w:rsidTr="002A3476">
        <w:trPr>
          <w:trHeight w:val="271"/>
        </w:trPr>
        <w:tc>
          <w:tcPr>
            <w:tcW w:w="6005" w:type="dxa"/>
          </w:tcPr>
          <w:p w14:paraId="14DC87EE" w14:textId="6866FEEA" w:rsidR="002A3476" w:rsidRDefault="002A3476" w:rsidP="002A3476">
            <w:pPr>
              <w:pStyle w:val="BodyText"/>
              <w:ind w:left="-4"/>
              <w:rPr>
                <w:rFonts w:ascii="Fira Sans SemiBold" w:hAnsi="Fira Sans SemiBold"/>
              </w:rPr>
            </w:pPr>
            <w:r>
              <w:rPr>
                <w:rFonts w:ascii="Fira Sans SemiBold" w:hAnsi="Fira Sans SemiBold"/>
              </w:rPr>
              <w:t>Fluid</w:t>
            </w:r>
          </w:p>
        </w:tc>
        <w:tc>
          <w:tcPr>
            <w:tcW w:w="2812" w:type="dxa"/>
          </w:tcPr>
          <w:p w14:paraId="69DE4600" w14:textId="4C96B4D3" w:rsidR="002A3476" w:rsidRDefault="002A3476" w:rsidP="002A3476">
            <w:pPr>
              <w:pStyle w:val="BodyText"/>
              <w:rPr>
                <w:rFonts w:ascii="Fira Sans SemiBold" w:hAnsi="Fira Sans SemiBold"/>
              </w:rPr>
            </w:pPr>
            <w:r>
              <w:rPr>
                <w:rFonts w:ascii="Fira Sans SemiBold" w:hAnsi="Fira Sans SemiBold"/>
              </w:rPr>
              <w:t>Replacement interval</w:t>
            </w:r>
          </w:p>
        </w:tc>
      </w:tr>
      <w:tr w:rsidR="002A3476" w14:paraId="3169DC16" w14:textId="753592E3" w:rsidTr="002A3476">
        <w:trPr>
          <w:trHeight w:val="421"/>
        </w:trPr>
        <w:tc>
          <w:tcPr>
            <w:tcW w:w="6005" w:type="dxa"/>
          </w:tcPr>
          <w:p w14:paraId="6A0A8A55" w14:textId="4157553D" w:rsidR="002A3476" w:rsidRDefault="002A3476" w:rsidP="002A3476">
            <w:pPr>
              <w:pStyle w:val="BodyText"/>
              <w:ind w:left="-4"/>
              <w:rPr>
                <w:rFonts w:ascii="Fira Sans SemiBold" w:hAnsi="Fira Sans SemiBold"/>
              </w:rPr>
            </w:pPr>
            <w:r w:rsidRPr="001904D5">
              <w:t>Standard (crystalloid) and non-lipid parenteral solutions</w:t>
            </w:r>
          </w:p>
        </w:tc>
        <w:tc>
          <w:tcPr>
            <w:tcW w:w="2812" w:type="dxa"/>
          </w:tcPr>
          <w:p w14:paraId="2350FDCF" w14:textId="12CF4D56" w:rsidR="002A3476" w:rsidRDefault="002A3476" w:rsidP="002A3476">
            <w:pPr>
              <w:pStyle w:val="BodyText"/>
              <w:ind w:left="-4"/>
              <w:rPr>
                <w:rFonts w:ascii="Fira Sans SemiBold" w:hAnsi="Fira Sans SemiBold"/>
              </w:rPr>
            </w:pPr>
            <w:r w:rsidRPr="001904D5">
              <w:t>Every 24 hours</w:t>
            </w:r>
          </w:p>
        </w:tc>
      </w:tr>
      <w:tr w:rsidR="002A3476" w14:paraId="6AAB85BE" w14:textId="4153D209" w:rsidTr="002A3476">
        <w:trPr>
          <w:trHeight w:val="434"/>
        </w:trPr>
        <w:tc>
          <w:tcPr>
            <w:tcW w:w="6005" w:type="dxa"/>
          </w:tcPr>
          <w:p w14:paraId="187564DF" w14:textId="36471277" w:rsidR="002A3476" w:rsidRDefault="002A3476" w:rsidP="002A3476">
            <w:pPr>
              <w:pStyle w:val="BodyText"/>
              <w:ind w:left="-4"/>
              <w:rPr>
                <w:rFonts w:ascii="Fira Sans SemiBold" w:hAnsi="Fira Sans SemiBold"/>
              </w:rPr>
            </w:pPr>
            <w:r w:rsidRPr="001904D5">
              <w:t>Lipid-containing solutions</w:t>
            </w:r>
          </w:p>
        </w:tc>
        <w:tc>
          <w:tcPr>
            <w:tcW w:w="2812" w:type="dxa"/>
          </w:tcPr>
          <w:p w14:paraId="47AD6A3A" w14:textId="5AADF7E2" w:rsidR="002A3476" w:rsidRDefault="002A3476" w:rsidP="002A3476">
            <w:pPr>
              <w:pStyle w:val="BodyText"/>
              <w:ind w:left="-4"/>
              <w:rPr>
                <w:rFonts w:ascii="Fira Sans SemiBold" w:hAnsi="Fira Sans SemiBold"/>
              </w:rPr>
            </w:pPr>
            <w:r w:rsidRPr="001904D5">
              <w:t>Within 24 hours</w:t>
            </w:r>
          </w:p>
        </w:tc>
      </w:tr>
      <w:tr w:rsidR="002A3476" w14:paraId="4199AE0B" w14:textId="01377B95" w:rsidTr="002A3476">
        <w:trPr>
          <w:trHeight w:val="451"/>
        </w:trPr>
        <w:tc>
          <w:tcPr>
            <w:tcW w:w="6005" w:type="dxa"/>
          </w:tcPr>
          <w:p w14:paraId="30F85320" w14:textId="30C668BF" w:rsidR="002A3476" w:rsidRDefault="002A3476" w:rsidP="002A3476">
            <w:pPr>
              <w:pStyle w:val="BodyText"/>
              <w:ind w:left="-4"/>
              <w:rPr>
                <w:rFonts w:ascii="Fira Sans SemiBold" w:hAnsi="Fira Sans SemiBold"/>
              </w:rPr>
            </w:pPr>
            <w:r w:rsidRPr="001904D5">
              <w:t>Lipid emulsions</w:t>
            </w:r>
          </w:p>
        </w:tc>
        <w:tc>
          <w:tcPr>
            <w:tcW w:w="2812" w:type="dxa"/>
          </w:tcPr>
          <w:p w14:paraId="488CB8ED" w14:textId="3C715692" w:rsidR="002A3476" w:rsidRDefault="002A3476" w:rsidP="002A3476">
            <w:pPr>
              <w:pStyle w:val="BodyText"/>
              <w:ind w:left="-4"/>
              <w:rPr>
                <w:rFonts w:ascii="Fira Sans SemiBold" w:hAnsi="Fira Sans SemiBold"/>
              </w:rPr>
            </w:pPr>
            <w:r w:rsidRPr="001904D5">
              <w:t>Within 12 hours</w:t>
            </w:r>
          </w:p>
        </w:tc>
      </w:tr>
      <w:tr w:rsidR="002A3476" w14:paraId="6651C637" w14:textId="1312DFA0" w:rsidTr="002A3476">
        <w:trPr>
          <w:trHeight w:val="475"/>
        </w:trPr>
        <w:tc>
          <w:tcPr>
            <w:tcW w:w="6005" w:type="dxa"/>
          </w:tcPr>
          <w:p w14:paraId="5F15E728" w14:textId="5FBD2528" w:rsidR="002A3476" w:rsidRDefault="002A3476" w:rsidP="002A3476">
            <w:pPr>
              <w:pStyle w:val="BodyText"/>
              <w:ind w:left="-4"/>
              <w:rPr>
                <w:rFonts w:ascii="Fira Sans SemiBold" w:hAnsi="Fira Sans SemiBold"/>
              </w:rPr>
            </w:pPr>
            <w:r w:rsidRPr="001904D5">
              <w:t>All blood components (excluding factor VIII or IX for continuous infusion)</w:t>
            </w:r>
          </w:p>
        </w:tc>
        <w:tc>
          <w:tcPr>
            <w:tcW w:w="2812" w:type="dxa"/>
          </w:tcPr>
          <w:p w14:paraId="5619C9A0" w14:textId="050953A1" w:rsidR="002A3476" w:rsidRDefault="002A3476" w:rsidP="002A3476">
            <w:pPr>
              <w:pStyle w:val="BodyText"/>
              <w:ind w:left="-4"/>
              <w:rPr>
                <w:rFonts w:ascii="Fira Sans SemiBold" w:hAnsi="Fira Sans SemiBold"/>
              </w:rPr>
            </w:pPr>
            <w:r w:rsidRPr="001904D5">
              <w:t>Within 4 hours</w:t>
            </w:r>
          </w:p>
        </w:tc>
      </w:tr>
      <w:tr w:rsidR="002A3476" w14:paraId="051C466C" w14:textId="08ECD654" w:rsidTr="002A3476">
        <w:trPr>
          <w:trHeight w:val="353"/>
        </w:trPr>
        <w:tc>
          <w:tcPr>
            <w:tcW w:w="6005" w:type="dxa"/>
          </w:tcPr>
          <w:p w14:paraId="2D49D926" w14:textId="3EC6E6FC" w:rsidR="002A3476" w:rsidRDefault="002A3476" w:rsidP="002A3476">
            <w:pPr>
              <w:pStyle w:val="BodyText"/>
              <w:ind w:left="-4"/>
              <w:rPr>
                <w:rFonts w:ascii="Fira Sans SemiBold" w:hAnsi="Fira Sans SemiBold"/>
              </w:rPr>
            </w:pPr>
            <w:r w:rsidRPr="001904D5">
              <w:t>Drug infusions (e.g. heparin, insulin)</w:t>
            </w:r>
          </w:p>
        </w:tc>
        <w:tc>
          <w:tcPr>
            <w:tcW w:w="2812" w:type="dxa"/>
          </w:tcPr>
          <w:p w14:paraId="00E71AE1" w14:textId="02E48F90" w:rsidR="002A3476" w:rsidRDefault="002A3476" w:rsidP="002A3476">
            <w:pPr>
              <w:pStyle w:val="BodyText"/>
              <w:ind w:left="-4"/>
              <w:rPr>
                <w:rFonts w:ascii="Fira Sans SemiBold" w:hAnsi="Fira Sans SemiBold"/>
              </w:rPr>
            </w:pPr>
            <w:r w:rsidRPr="001904D5">
              <w:t>Every 24 hours</w:t>
            </w:r>
          </w:p>
        </w:tc>
      </w:tr>
    </w:tbl>
    <w:p w14:paraId="61C0ECB9" w14:textId="5587684D" w:rsidR="001904D5" w:rsidRDefault="001904D5" w:rsidP="001904D5">
      <w:pPr>
        <w:pStyle w:val="BodyText"/>
      </w:pPr>
      <w:r>
        <w:t>When an IVD is replaced or re-sited, the infusion and administration set should also be replaced. Fluid containers should only be spiked once, and the spike should be advanced all the way into the container.</w:t>
      </w:r>
    </w:p>
    <w:p w14:paraId="41465E68" w14:textId="77777777" w:rsidR="001904D5" w:rsidRDefault="001904D5" w:rsidP="001904D5">
      <w:pPr>
        <w:pStyle w:val="Heading1"/>
      </w:pPr>
      <w:bookmarkStart w:id="23" w:name="_Toc28002366"/>
      <w:r>
        <w:t>Administration set changes</w:t>
      </w:r>
      <w:bookmarkEnd w:id="23"/>
    </w:p>
    <w:p w14:paraId="43A09685" w14:textId="77777777" w:rsidR="001904D5" w:rsidRDefault="001904D5" w:rsidP="001904D5">
      <w:pPr>
        <w:pStyle w:val="BodyText"/>
      </w:pPr>
      <w:r>
        <w:t>Intermittent disconnection of giving sets increases the risk of infection and is not recommended for any reason. If a giving set is disconnected for any reason or for any length of time, the entire giving set and infusion/fluid therapy must be changed.</w:t>
      </w:r>
    </w:p>
    <w:p w14:paraId="1F716343" w14:textId="5BF9B603" w:rsidR="001904D5" w:rsidRDefault="001904D5" w:rsidP="001904D5">
      <w:pPr>
        <w:pStyle w:val="BodyText"/>
      </w:pPr>
      <w:r>
        <w:t>The span of time that an administration set should be used for depends on its use. Please see Table 2 or refer to local procedure for specific maximum use times.</w:t>
      </w:r>
    </w:p>
    <w:p w14:paraId="26F89CC6" w14:textId="01A531A3" w:rsidR="00406F2D" w:rsidRDefault="001904D5" w:rsidP="00406F2D">
      <w:pPr>
        <w:pStyle w:val="BodyText"/>
        <w:rPr>
          <w:rFonts w:ascii="Fira Sans SemiBold" w:hAnsi="Fira Sans SemiBold"/>
        </w:rPr>
      </w:pPr>
      <w:r w:rsidRPr="001904D5">
        <w:rPr>
          <w:rFonts w:ascii="Fira Sans SemiBold" w:hAnsi="Fira Sans SemiBold"/>
        </w:rPr>
        <w:t>Table 2: Recommended administration set replacement interval</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4497"/>
      </w:tblGrid>
      <w:tr w:rsidR="0089133F" w14:paraId="1BD9E4F0" w14:textId="1B99E9D8" w:rsidTr="0089133F">
        <w:trPr>
          <w:trHeight w:val="470"/>
        </w:trPr>
        <w:tc>
          <w:tcPr>
            <w:tcW w:w="4275" w:type="dxa"/>
          </w:tcPr>
          <w:p w14:paraId="51574409" w14:textId="55C432BD" w:rsidR="0089133F" w:rsidRPr="00877CD0" w:rsidRDefault="00257D41" w:rsidP="00406F2D">
            <w:pPr>
              <w:pStyle w:val="BodyText"/>
            </w:pPr>
            <w:r w:rsidRPr="00877CD0">
              <w:t>Administration</w:t>
            </w:r>
          </w:p>
        </w:tc>
        <w:tc>
          <w:tcPr>
            <w:tcW w:w="4501" w:type="dxa"/>
          </w:tcPr>
          <w:p w14:paraId="7AACCB52" w14:textId="599A5F79" w:rsidR="0089133F" w:rsidRPr="00877CD0" w:rsidRDefault="00877CD0" w:rsidP="00406F2D">
            <w:pPr>
              <w:pStyle w:val="BodyText"/>
            </w:pPr>
            <w:r w:rsidRPr="00877CD0">
              <w:t>Replacement</w:t>
            </w:r>
          </w:p>
        </w:tc>
      </w:tr>
      <w:tr w:rsidR="0089133F" w14:paraId="0A6B8945" w14:textId="0356C201" w:rsidTr="0089133F">
        <w:trPr>
          <w:trHeight w:val="470"/>
        </w:trPr>
        <w:tc>
          <w:tcPr>
            <w:tcW w:w="4275" w:type="dxa"/>
          </w:tcPr>
          <w:p w14:paraId="0F74AF08" w14:textId="718BE7E4" w:rsidR="0089133F" w:rsidRPr="00877CD0" w:rsidRDefault="00877CD0" w:rsidP="00406F2D">
            <w:pPr>
              <w:pStyle w:val="BodyText"/>
            </w:pPr>
            <w:r w:rsidRPr="00877CD0">
              <w:t>Not containing lipids, blood or blood products</w:t>
            </w:r>
          </w:p>
        </w:tc>
        <w:tc>
          <w:tcPr>
            <w:tcW w:w="4501" w:type="dxa"/>
          </w:tcPr>
          <w:p w14:paraId="325D5EA1" w14:textId="6474A636" w:rsidR="0089133F" w:rsidRPr="00877CD0" w:rsidRDefault="00877CD0" w:rsidP="00406F2D">
            <w:pPr>
              <w:pStyle w:val="BodyText"/>
            </w:pPr>
            <w:r w:rsidRPr="00877CD0">
              <w:t>After 96 hours but at least every 7 days*</w:t>
            </w:r>
            <w:r w:rsidRPr="00877CD0">
              <w:rPr>
                <w:vertAlign w:val="superscript"/>
              </w:rPr>
              <w:t>3</w:t>
            </w:r>
          </w:p>
        </w:tc>
      </w:tr>
      <w:tr w:rsidR="0089133F" w14:paraId="60139580" w14:textId="53FC1993" w:rsidTr="0089133F">
        <w:trPr>
          <w:trHeight w:val="470"/>
        </w:trPr>
        <w:tc>
          <w:tcPr>
            <w:tcW w:w="4275" w:type="dxa"/>
          </w:tcPr>
          <w:p w14:paraId="2941E5A4" w14:textId="5EF4E0D6" w:rsidR="0089133F" w:rsidRPr="00877CD0" w:rsidRDefault="00877CD0" w:rsidP="00406F2D">
            <w:pPr>
              <w:pStyle w:val="BodyText"/>
            </w:pPr>
            <w:r w:rsidRPr="00877CD0">
              <w:t>Lipid/lipid-containing parenteral nutrition</w:t>
            </w:r>
          </w:p>
        </w:tc>
        <w:tc>
          <w:tcPr>
            <w:tcW w:w="4501" w:type="dxa"/>
          </w:tcPr>
          <w:p w14:paraId="096DFE7D" w14:textId="07783BFA" w:rsidR="0089133F" w:rsidRPr="00877CD0" w:rsidRDefault="00877CD0" w:rsidP="00406F2D">
            <w:pPr>
              <w:pStyle w:val="BodyText"/>
            </w:pPr>
            <w:r w:rsidRPr="00877CD0">
              <w:t>Within 24 hours</w:t>
            </w:r>
            <w:r w:rsidRPr="00877CD0">
              <w:rPr>
                <w:vertAlign w:val="superscript"/>
              </w:rPr>
              <w:t>3</w:t>
            </w:r>
          </w:p>
        </w:tc>
      </w:tr>
      <w:tr w:rsidR="0089133F" w14:paraId="180AA390" w14:textId="1113341D" w:rsidTr="0089133F">
        <w:trPr>
          <w:trHeight w:val="470"/>
        </w:trPr>
        <w:tc>
          <w:tcPr>
            <w:tcW w:w="4275" w:type="dxa"/>
          </w:tcPr>
          <w:p w14:paraId="474AB4E6" w14:textId="491CFDE9" w:rsidR="0089133F" w:rsidRPr="00877CD0" w:rsidRDefault="00877CD0" w:rsidP="00406F2D">
            <w:pPr>
              <w:pStyle w:val="BodyText"/>
            </w:pPr>
            <w:r w:rsidRPr="00877CD0">
              <w:t>Chemotherapeutic agents</w:t>
            </w:r>
          </w:p>
        </w:tc>
        <w:tc>
          <w:tcPr>
            <w:tcW w:w="4501" w:type="dxa"/>
          </w:tcPr>
          <w:p w14:paraId="28C3054B" w14:textId="55E38964" w:rsidR="0089133F" w:rsidRPr="00877CD0" w:rsidRDefault="00877CD0" w:rsidP="00406F2D">
            <w:pPr>
              <w:pStyle w:val="BodyText"/>
            </w:pPr>
            <w:r w:rsidRPr="00877CD0">
              <w:t>Remove immediately after use*</w:t>
            </w:r>
          </w:p>
        </w:tc>
      </w:tr>
      <w:tr w:rsidR="0089133F" w14:paraId="59661E63" w14:textId="78929535" w:rsidTr="0089133F">
        <w:trPr>
          <w:trHeight w:val="470"/>
        </w:trPr>
        <w:tc>
          <w:tcPr>
            <w:tcW w:w="4275" w:type="dxa"/>
          </w:tcPr>
          <w:p w14:paraId="680D1832" w14:textId="3B802662" w:rsidR="0089133F" w:rsidRPr="00877CD0" w:rsidRDefault="00877CD0" w:rsidP="00406F2D">
            <w:pPr>
              <w:pStyle w:val="BodyText"/>
            </w:pPr>
            <w:r w:rsidRPr="00877CD0">
              <w:t>Propofol</w:t>
            </w:r>
          </w:p>
        </w:tc>
        <w:tc>
          <w:tcPr>
            <w:tcW w:w="4501" w:type="dxa"/>
          </w:tcPr>
          <w:p w14:paraId="2A73148E" w14:textId="2DC90F90" w:rsidR="0089133F" w:rsidRPr="00877CD0" w:rsidRDefault="00877CD0" w:rsidP="00406F2D">
            <w:pPr>
              <w:pStyle w:val="BodyText"/>
            </w:pPr>
            <w:r w:rsidRPr="00877CD0">
              <w:t>Every 6 to 12 hours, when the vial is changed or as per manufacturer*</w:t>
            </w:r>
            <w:r w:rsidRPr="00877CD0">
              <w:rPr>
                <w:vertAlign w:val="superscript"/>
              </w:rPr>
              <w:t>3</w:t>
            </w:r>
          </w:p>
        </w:tc>
      </w:tr>
      <w:tr w:rsidR="0089133F" w14:paraId="07BB7A8E" w14:textId="5DC82012" w:rsidTr="0089133F">
        <w:trPr>
          <w:trHeight w:val="470"/>
        </w:trPr>
        <w:tc>
          <w:tcPr>
            <w:tcW w:w="4275" w:type="dxa"/>
          </w:tcPr>
          <w:p w14:paraId="0B5645AB" w14:textId="60B270D3" w:rsidR="0089133F" w:rsidRPr="00877CD0" w:rsidRDefault="00877CD0" w:rsidP="00406F2D">
            <w:pPr>
              <w:pStyle w:val="BodyText"/>
            </w:pPr>
            <w:r w:rsidRPr="00877CD0">
              <w:t>Heparin</w:t>
            </w:r>
          </w:p>
        </w:tc>
        <w:tc>
          <w:tcPr>
            <w:tcW w:w="4501" w:type="dxa"/>
          </w:tcPr>
          <w:p w14:paraId="61832CE7" w14:textId="655D3628" w:rsidR="0089133F" w:rsidRPr="00877CD0" w:rsidRDefault="00877CD0" w:rsidP="00406F2D">
            <w:pPr>
              <w:pStyle w:val="BodyText"/>
            </w:pPr>
            <w:r w:rsidRPr="00877CD0">
              <w:t>Every 24 hours</w:t>
            </w:r>
          </w:p>
        </w:tc>
      </w:tr>
      <w:tr w:rsidR="0089133F" w14:paraId="3FE08600" w14:textId="40450278" w:rsidTr="0089133F">
        <w:trPr>
          <w:trHeight w:val="470"/>
        </w:trPr>
        <w:tc>
          <w:tcPr>
            <w:tcW w:w="4275" w:type="dxa"/>
          </w:tcPr>
          <w:p w14:paraId="02F9AFF9" w14:textId="604E2D27" w:rsidR="0089133F" w:rsidRPr="00877CD0" w:rsidRDefault="00877CD0" w:rsidP="00406F2D">
            <w:pPr>
              <w:pStyle w:val="BodyText"/>
            </w:pPr>
            <w:r w:rsidRPr="00877CD0">
              <w:t>Other infusions (not including those listed above)</w:t>
            </w:r>
          </w:p>
        </w:tc>
        <w:tc>
          <w:tcPr>
            <w:tcW w:w="4501" w:type="dxa"/>
          </w:tcPr>
          <w:p w14:paraId="327C998D" w14:textId="46819FEC" w:rsidR="0089133F" w:rsidRPr="00877CD0" w:rsidRDefault="00877CD0" w:rsidP="00406F2D">
            <w:pPr>
              <w:pStyle w:val="BodyText"/>
            </w:pPr>
            <w:r w:rsidRPr="00877CD0">
              <w:t>After 96 hours but at least every 7 days*</w:t>
            </w:r>
            <w:r w:rsidRPr="00877CD0">
              <w:rPr>
                <w:vertAlign w:val="superscript"/>
              </w:rPr>
              <w:t>3</w:t>
            </w:r>
          </w:p>
        </w:tc>
      </w:tr>
      <w:tr w:rsidR="0089133F" w14:paraId="408B90BD" w14:textId="77777777" w:rsidTr="0089133F">
        <w:trPr>
          <w:trHeight w:val="470"/>
        </w:trPr>
        <w:tc>
          <w:tcPr>
            <w:tcW w:w="8776" w:type="dxa"/>
            <w:gridSpan w:val="2"/>
          </w:tcPr>
          <w:p w14:paraId="39C11D3D" w14:textId="4EF36D60" w:rsidR="0089133F" w:rsidRDefault="00877CD0" w:rsidP="00406F2D">
            <w:pPr>
              <w:pStyle w:val="BodyText"/>
              <w:rPr>
                <w:rFonts w:ascii="Fira Sans SemiBold" w:hAnsi="Fira Sans SemiBold"/>
              </w:rPr>
            </w:pPr>
            <w:r>
              <w:rPr>
                <w:szCs w:val="22"/>
              </w:rPr>
              <w:t>*All administration sets should be replaced when disconnected or if the catheter is changed. When an administration set is changed, the IV fluid bag should also be changed</w:t>
            </w:r>
          </w:p>
        </w:tc>
      </w:tr>
    </w:tbl>
    <w:p w14:paraId="0FC80F00" w14:textId="77777777" w:rsidR="00877CD0" w:rsidRPr="00AF17B7" w:rsidRDefault="00877CD0" w:rsidP="00AF17B7">
      <w:pPr>
        <w:pStyle w:val="Heading1"/>
      </w:pPr>
      <w:bookmarkStart w:id="24" w:name="_Toc28002367"/>
      <w:r w:rsidRPr="00AF17B7">
        <w:lastRenderedPageBreak/>
        <w:t>Needleless access ports</w:t>
      </w:r>
      <w:bookmarkEnd w:id="24"/>
    </w:p>
    <w:p w14:paraId="08F41E50" w14:textId="5F982321" w:rsidR="00877CD0" w:rsidRPr="00AF17B7" w:rsidRDefault="00877CD0" w:rsidP="00877CD0">
      <w:pPr>
        <w:pStyle w:val="BodyText"/>
      </w:pPr>
      <w:r w:rsidRPr="00AF17B7">
        <w:t>Needleless connectors (access ports) are recommended for access to all IVDs or IV tubing</w:t>
      </w:r>
      <w:r w:rsidR="00AF17B7">
        <w:t>.</w:t>
      </w:r>
      <w:r w:rsidRPr="00AF17B7">
        <w:rPr>
          <w:vertAlign w:val="superscript"/>
        </w:rPr>
        <w:t>6</w:t>
      </w:r>
      <w:r w:rsidR="00AF17B7">
        <w:t xml:space="preserve"> </w:t>
      </w:r>
      <w:r w:rsidRPr="00AF17B7">
        <w:t>AT should be used for any access, removal and addition or changing of ports</w:t>
      </w:r>
      <w:r w:rsidR="00AF17B7">
        <w:t>.</w:t>
      </w:r>
      <w:r w:rsidRPr="00AF17B7">
        <w:rPr>
          <w:vertAlign w:val="superscript"/>
        </w:rPr>
        <w:t>6, 15</w:t>
      </w:r>
      <w:r w:rsidRPr="00AF17B7">
        <w:t xml:space="preserve"> Needless connectors should be changed as frequently as the giving set at a minimum weekly and not more frequently than 96 hours or as clinically indicated</w:t>
      </w:r>
      <w:r w:rsidR="00AF17B7">
        <w:t>.</w:t>
      </w:r>
      <w:r w:rsidRPr="00AF17B7">
        <w:rPr>
          <w:vertAlign w:val="superscript"/>
        </w:rPr>
        <w:t>3</w:t>
      </w:r>
    </w:p>
    <w:p w14:paraId="183B9617" w14:textId="779E1F0A" w:rsidR="00877CD0" w:rsidRPr="00AF17B7" w:rsidRDefault="00877CD0" w:rsidP="00877CD0">
      <w:pPr>
        <w:pStyle w:val="BodyText"/>
      </w:pPr>
      <w:r w:rsidRPr="00AF17B7">
        <w:t>The needleless access port should be decontaminated by applying mechanical friction with a swab impregnated with 70</w:t>
      </w:r>
      <w:r w:rsidR="00AF17B7">
        <w:t>percent</w:t>
      </w:r>
      <w:r w:rsidRPr="00AF17B7">
        <w:t xml:space="preserve"> alcohol or 2</w:t>
      </w:r>
      <w:r w:rsidR="00AF17B7">
        <w:t>percent</w:t>
      </w:r>
      <w:r w:rsidRPr="00AF17B7">
        <w:t xml:space="preserve"> chlorhexidine and 70</w:t>
      </w:r>
      <w:r w:rsidR="00AF17B7">
        <w:t>percent</w:t>
      </w:r>
      <w:r w:rsidRPr="00AF17B7">
        <w:t xml:space="preserve"> alcohol for at least 15 seconds and allowed to air dry</w:t>
      </w:r>
      <w:r w:rsidR="00AF17B7">
        <w:t>.</w:t>
      </w:r>
      <w:r w:rsidRPr="00AF17B7">
        <w:rPr>
          <w:vertAlign w:val="superscript"/>
        </w:rPr>
        <w:t>3, 5, 16, 31</w:t>
      </w:r>
      <w:r w:rsidRPr="00AF17B7">
        <w:t xml:space="preserve"> Only sterile devices should be used to access an IVD or IV line</w:t>
      </w:r>
      <w:r w:rsidR="00AF17B7">
        <w:t>.</w:t>
      </w:r>
      <w:r w:rsidRPr="00AF17B7">
        <w:rPr>
          <w:vertAlign w:val="superscript"/>
        </w:rPr>
        <w:t>3, 15</w:t>
      </w:r>
      <w:r w:rsidRPr="00AF17B7">
        <w:t xml:space="preserve"> There should never be an “open” access port on any circuit attached to an IVD. There should be a needleless access port or sterile cap at each possible access point. Manipulation and access of lines attached to an IVD should be minimised to reduce the opportunity for infection</w:t>
      </w:r>
      <w:r w:rsidR="00AF17B7">
        <w:t>.</w:t>
      </w:r>
      <w:r w:rsidRPr="00AF17B7">
        <w:rPr>
          <w:vertAlign w:val="superscript"/>
        </w:rPr>
        <w:t>3</w:t>
      </w:r>
      <w:r w:rsidRPr="00AF17B7">
        <w:t xml:space="preserve"> Where possible, a facility should only stock compatible components to prevent possible leaking and breaks in the system</w:t>
      </w:r>
      <w:r w:rsidR="00AF17B7">
        <w:t>.</w:t>
      </w:r>
      <w:r w:rsidRPr="00AF17B7">
        <w:rPr>
          <w:vertAlign w:val="superscript"/>
        </w:rPr>
        <w:t>3</w:t>
      </w:r>
    </w:p>
    <w:p w14:paraId="40F9BE95" w14:textId="77777777" w:rsidR="00877CD0" w:rsidRPr="00AF17B7" w:rsidRDefault="00877CD0" w:rsidP="00AF17B7">
      <w:pPr>
        <w:pStyle w:val="Heading1"/>
      </w:pPr>
      <w:bookmarkStart w:id="25" w:name="_Toc28002368"/>
      <w:r w:rsidRPr="00AF17B7">
        <w:t>Disinfectant caps</w:t>
      </w:r>
      <w:bookmarkEnd w:id="25"/>
      <w:r w:rsidRPr="00AF17B7">
        <w:t xml:space="preserve"> </w:t>
      </w:r>
    </w:p>
    <w:p w14:paraId="481125E2" w14:textId="50A2EF19" w:rsidR="00877CD0" w:rsidRPr="00AF17B7" w:rsidRDefault="00877CD0" w:rsidP="005A4971">
      <w:pPr>
        <w:pStyle w:val="BodyText"/>
        <w:ind w:right="89"/>
      </w:pPr>
      <w:r w:rsidRPr="00AF17B7">
        <w:t>The use of disinfectant caps on needless access ports could be considered, depending on facility’s specific requirements, especially for intermittently used devices</w:t>
      </w:r>
      <w:r w:rsidR="005A4971">
        <w:t>.</w:t>
      </w:r>
      <w:r w:rsidRPr="005A4971">
        <w:rPr>
          <w:vertAlign w:val="superscript"/>
        </w:rPr>
        <w:t>5, 31, 32</w:t>
      </w:r>
      <w:r w:rsidR="005A4971">
        <w:rPr>
          <w:vertAlign w:val="superscript"/>
        </w:rPr>
        <w:t xml:space="preserve"> </w:t>
      </w:r>
      <w:r w:rsidRPr="00AF17B7">
        <w:t>Recommendation of their general use to prevent IVD related BSIs requires more evidence</w:t>
      </w:r>
      <w:r w:rsidR="005A4971">
        <w:t>.</w:t>
      </w:r>
      <w:r w:rsidRPr="005A4971">
        <w:rPr>
          <w:vertAlign w:val="superscript"/>
        </w:rPr>
        <w:t>31</w:t>
      </w:r>
      <w:r w:rsidRPr="00AF17B7">
        <w:t xml:space="preserve"> If used, follow manufacturer’s recommendations for their use.</w:t>
      </w:r>
    </w:p>
    <w:p w14:paraId="54E71B14" w14:textId="77777777" w:rsidR="00877CD0" w:rsidRPr="00AF17B7" w:rsidRDefault="00877CD0" w:rsidP="00AF17B7">
      <w:pPr>
        <w:pStyle w:val="Heading1"/>
      </w:pPr>
      <w:bookmarkStart w:id="26" w:name="_Toc28002369"/>
      <w:r w:rsidRPr="00AF17B7">
        <w:t>Blood culture collection for diagnosis of BSI</w:t>
      </w:r>
      <w:bookmarkEnd w:id="26"/>
    </w:p>
    <w:p w14:paraId="4106AF26" w14:textId="51F7309B" w:rsidR="005A4971" w:rsidRDefault="00877CD0" w:rsidP="00877CD0">
      <w:pPr>
        <w:pStyle w:val="BodyText"/>
      </w:pPr>
      <w:r w:rsidRPr="00AF17B7">
        <w:t xml:space="preserve">Blood cultures for the diagnosis of a blood stream infection should be taken from a peripheral vessel in accordance with the pathology provider’s policy. Pathology Queensland’s recommendation for blood culture collections in adults can be found here: </w:t>
      </w:r>
      <w:hyperlink r:id="rId16" w:history="1">
        <w:r w:rsidRPr="00E279E7">
          <w:rPr>
            <w:rStyle w:val="Hyperlink"/>
          </w:rPr>
          <w:t>http://qis.health.qld.gov.au/DocumentManagement/Default.aspx?DocumentID=26423</w:t>
        </w:r>
      </w:hyperlink>
      <w:r w:rsidRPr="00AF17B7">
        <w:t xml:space="preserve"> (please note: this can only be accessed from a computer on the Queensland Health network). </w:t>
      </w:r>
      <w:r w:rsidR="005A4971">
        <w:br w:type="page"/>
      </w:r>
    </w:p>
    <w:p w14:paraId="13107D08" w14:textId="77777777" w:rsidR="00877CD0" w:rsidRPr="00AF17B7" w:rsidRDefault="00877CD0" w:rsidP="00877CD0">
      <w:pPr>
        <w:pStyle w:val="BodyText"/>
      </w:pPr>
    </w:p>
    <w:p w14:paraId="387A1953" w14:textId="77777777" w:rsidR="00877CD0" w:rsidRPr="00AF17B7" w:rsidRDefault="00877CD0" w:rsidP="00877CD0">
      <w:pPr>
        <w:pStyle w:val="BodyText"/>
      </w:pPr>
      <w:r w:rsidRPr="00AF17B7">
        <w:t>CVC blood cultures may be taken if there is no other foci of infection and the catheter is the suspected source. Please see local procedures for more detail regarding the specific requirements for blood culture collection. The principles of AT should be followed to reduce the chance of contamination of the specimen.</w:t>
      </w:r>
    </w:p>
    <w:p w14:paraId="3F2A5ACC" w14:textId="77777777" w:rsidR="00877CD0" w:rsidRPr="00AF17B7" w:rsidRDefault="00877CD0" w:rsidP="00AF17B7">
      <w:pPr>
        <w:pStyle w:val="Heading1"/>
      </w:pPr>
      <w:bookmarkStart w:id="27" w:name="_Toc28002370"/>
      <w:r w:rsidRPr="00AF17B7">
        <w:t>Culturing line tips</w:t>
      </w:r>
      <w:bookmarkEnd w:id="27"/>
    </w:p>
    <w:p w14:paraId="56EA0F30" w14:textId="067AE2C4" w:rsidR="00877CD0" w:rsidRPr="00AF17B7" w:rsidRDefault="00877CD0" w:rsidP="00877CD0">
      <w:pPr>
        <w:pStyle w:val="BodyText"/>
      </w:pPr>
      <w:r w:rsidRPr="00AF17B7">
        <w:t xml:space="preserve">Culturing of line tips is not routinely indicated. If the CVC is the suspected source of infection and the tip is required for culture and sensitivity, removal of the CVC and collection of the tip should be performed under aseptic technique. The tip should only be cultured if catheter-associated blood stream infection is suspected and definitive confirmation and sensitivities are required. Please liaise with your local lab for their requirements for a line tip culture or see the Queensland Pathology standard operating procedure at </w:t>
      </w:r>
      <w:hyperlink r:id="rId17" w:history="1">
        <w:r w:rsidRPr="005A4971">
          <w:rPr>
            <w:rStyle w:val="Hyperlink"/>
          </w:rPr>
          <w:t>http://qis.health.qld.gov.au/DocumentManagement/Default.aspx?DocumentID=29160&amp;DocumentInstanceID=109753</w:t>
        </w:r>
      </w:hyperlink>
      <w:r w:rsidRPr="00AF17B7">
        <w:t xml:space="preserve"> (please note: this can only be accessed from a computer on the Queensland Health network).</w:t>
      </w:r>
    </w:p>
    <w:p w14:paraId="6C557E6D" w14:textId="77777777" w:rsidR="00877CD0" w:rsidRPr="00AF17B7" w:rsidRDefault="00877CD0" w:rsidP="00AF17B7">
      <w:pPr>
        <w:pStyle w:val="Heading1"/>
      </w:pPr>
      <w:bookmarkStart w:id="28" w:name="_Toc28002371"/>
      <w:r w:rsidRPr="00AF17B7">
        <w:t>Ethanol lock therapy</w:t>
      </w:r>
      <w:bookmarkEnd w:id="28"/>
    </w:p>
    <w:p w14:paraId="26DFFB35" w14:textId="77777777" w:rsidR="00877CD0" w:rsidRPr="00AF17B7" w:rsidRDefault="00877CD0" w:rsidP="00877CD0">
      <w:pPr>
        <w:pStyle w:val="BodyText"/>
      </w:pPr>
      <w:r w:rsidRPr="00AF17B7">
        <w:t>The aim of ethanol lock therapy is to prevent infection by inhibiting microbial growth in the catheter.</w:t>
      </w:r>
    </w:p>
    <w:p w14:paraId="79B4F166" w14:textId="77777777" w:rsidR="00877CD0" w:rsidRPr="00AF17B7" w:rsidRDefault="00877CD0" w:rsidP="00877CD0">
      <w:pPr>
        <w:pStyle w:val="BodyText"/>
      </w:pPr>
      <w:r w:rsidRPr="00AF17B7">
        <w:t xml:space="preserve">Follow the local procedure for ethanol locking of IVDs. </w:t>
      </w:r>
    </w:p>
    <w:p w14:paraId="396DE7EC" w14:textId="335A1D2B" w:rsidR="0089133F" w:rsidRDefault="00877CD0" w:rsidP="00877CD0">
      <w:pPr>
        <w:pStyle w:val="BodyText"/>
      </w:pPr>
      <w:r w:rsidRPr="00AF17B7">
        <w:t>Please note that ethanol may degrade polyurethane over time and therefore these devices may not be suitable for this type of therapy. Please consult with local procedures and manufacturer guidelines.</w:t>
      </w:r>
    </w:p>
    <w:p w14:paraId="78ED1F39" w14:textId="77777777" w:rsidR="005A4971" w:rsidRDefault="005A4971" w:rsidP="005A4971">
      <w:pPr>
        <w:pStyle w:val="Heading1"/>
      </w:pPr>
      <w:bookmarkStart w:id="29" w:name="_Toc28002372"/>
      <w:r>
        <w:t>Catheter duration, replacement and removal</w:t>
      </w:r>
      <w:bookmarkEnd w:id="29"/>
    </w:p>
    <w:p w14:paraId="3BD3CFEF" w14:textId="13FAB769" w:rsidR="005A4971" w:rsidRDefault="005A4971" w:rsidP="005A4971">
      <w:pPr>
        <w:pStyle w:val="BodyText"/>
      </w:pPr>
      <w:r>
        <w:t>All IVDs should be removed as soon as they are no longer required.</w:t>
      </w:r>
      <w:r w:rsidRPr="005A4971">
        <w:rPr>
          <w:vertAlign w:val="superscript"/>
        </w:rPr>
        <w:t>3, 5, 6</w:t>
      </w:r>
      <w:r>
        <w:t xml:space="preserve"> Removal of devices should be documented in the patient record, including the reason for removal.</w:t>
      </w:r>
      <w:r w:rsidRPr="005A4971">
        <w:rPr>
          <w:vertAlign w:val="superscript"/>
        </w:rPr>
        <w:t>6</w:t>
      </w:r>
      <w:r>
        <w:t xml:space="preserve"> </w:t>
      </w:r>
    </w:p>
    <w:p w14:paraId="47DCD1F9" w14:textId="77777777" w:rsidR="005A4971" w:rsidRDefault="005A4971" w:rsidP="005A4971">
      <w:pPr>
        <w:pStyle w:val="BodyText"/>
      </w:pPr>
      <w:r>
        <w:t xml:space="preserve">Different IVDs have different recommended durations. Please see the device specific appendix for further information. IVDs should only be replaced where there is an indication for their further use. </w:t>
      </w:r>
    </w:p>
    <w:p w14:paraId="7D70289A" w14:textId="4236721C" w:rsidR="005A4971" w:rsidRDefault="005A4971" w:rsidP="005A4971">
      <w:pPr>
        <w:pStyle w:val="BodyText"/>
      </w:pPr>
      <w:r>
        <w:t>Follow the principles of AT for the removal of IVDs.</w:t>
      </w:r>
      <w:r w:rsidRPr="005A4971">
        <w:rPr>
          <w:vertAlign w:val="superscript"/>
        </w:rPr>
        <w:t>6</w:t>
      </w:r>
      <w:r>
        <w:t xml:space="preserve"> Please see line specific appendices and local procedures for more information.</w:t>
      </w:r>
      <w:r>
        <w:tab/>
      </w:r>
    </w:p>
    <w:p w14:paraId="2AA32A81" w14:textId="40E26C9D" w:rsidR="00406F2D" w:rsidRDefault="005A4971" w:rsidP="009E0AAC">
      <w:pPr>
        <w:pStyle w:val="Heading1"/>
      </w:pPr>
      <w:bookmarkStart w:id="30" w:name="_Toc28002373"/>
      <w:r>
        <w:lastRenderedPageBreak/>
        <w:t>Definitions</w:t>
      </w:r>
      <w:bookmarkEnd w:id="30"/>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6032"/>
      </w:tblGrid>
      <w:tr w:rsidR="00011170" w14:paraId="2C9F5BAF" w14:textId="28C02CBF" w:rsidTr="00011170">
        <w:trPr>
          <w:trHeight w:val="531"/>
        </w:trPr>
        <w:tc>
          <w:tcPr>
            <w:tcW w:w="2607" w:type="dxa"/>
          </w:tcPr>
          <w:p w14:paraId="7D89DAE4" w14:textId="65CFD9F3" w:rsidR="00011170" w:rsidRDefault="00011170" w:rsidP="00D779CD">
            <w:pPr>
              <w:pStyle w:val="BodyText"/>
            </w:pPr>
            <w:r w:rsidRPr="00011170">
              <w:t>Disinfection</w:t>
            </w:r>
          </w:p>
        </w:tc>
        <w:tc>
          <w:tcPr>
            <w:tcW w:w="6032" w:type="dxa"/>
          </w:tcPr>
          <w:p w14:paraId="005CAC43" w14:textId="77777777" w:rsidR="00951F52" w:rsidRDefault="00011170" w:rsidP="00011170">
            <w:pPr>
              <w:pStyle w:val="BodyText"/>
            </w:pPr>
            <w:r>
              <w:t>the process that inactivates non-sporing infectious agents, using either thermal or chemical means.</w:t>
            </w:r>
          </w:p>
          <w:p w14:paraId="6F816E8E" w14:textId="396CBC1D" w:rsidR="00011170" w:rsidRDefault="005159B5" w:rsidP="00011170">
            <w:pPr>
              <w:pStyle w:val="BodyText"/>
            </w:pPr>
            <w:hyperlink r:id="rId18" w:history="1">
              <w:r w:rsidR="00011170" w:rsidRPr="00951F52">
                <w:rPr>
                  <w:rStyle w:val="Hyperlink"/>
                </w:rPr>
                <w:t>https://www.nhmrc.gov.au/book/australian-guidelines-prevention-and-control-infection-healthcare-2010/b1-5-4-disinfection</w:t>
              </w:r>
            </w:hyperlink>
          </w:p>
        </w:tc>
      </w:tr>
      <w:tr w:rsidR="00011170" w14:paraId="767912FF" w14:textId="6977213A" w:rsidTr="00011170">
        <w:trPr>
          <w:trHeight w:val="531"/>
        </w:trPr>
        <w:tc>
          <w:tcPr>
            <w:tcW w:w="2607" w:type="dxa"/>
          </w:tcPr>
          <w:p w14:paraId="56AAEDFE" w14:textId="0709FDBA" w:rsidR="00011170" w:rsidRDefault="00011170" w:rsidP="00D779CD">
            <w:pPr>
              <w:pStyle w:val="BodyText"/>
            </w:pPr>
            <w:r w:rsidRPr="00011170">
              <w:t>Ethanol lock therapy</w:t>
            </w:r>
          </w:p>
        </w:tc>
        <w:tc>
          <w:tcPr>
            <w:tcW w:w="6032" w:type="dxa"/>
          </w:tcPr>
          <w:p w14:paraId="1A42A489" w14:textId="20A6E6E4" w:rsidR="00011170" w:rsidRDefault="00011170" w:rsidP="00D779CD">
            <w:pPr>
              <w:pStyle w:val="BodyText"/>
            </w:pPr>
            <w:r w:rsidRPr="00011170">
              <w:t>the process of placing ethanol in the central line to prevent or treat line infection. The ethanol sits in the line / lumen when administering IV medication.</w:t>
            </w:r>
          </w:p>
        </w:tc>
      </w:tr>
      <w:tr w:rsidR="00011170" w14:paraId="59181DE5" w14:textId="1AB8B9FA" w:rsidTr="00011170">
        <w:trPr>
          <w:trHeight w:val="531"/>
        </w:trPr>
        <w:tc>
          <w:tcPr>
            <w:tcW w:w="2607" w:type="dxa"/>
          </w:tcPr>
          <w:p w14:paraId="6817189D" w14:textId="3D47EFE0" w:rsidR="00011170" w:rsidRDefault="00011170" w:rsidP="00D779CD">
            <w:pPr>
              <w:pStyle w:val="BodyText"/>
            </w:pPr>
            <w:r w:rsidRPr="00011170">
              <w:t>Maximal barrier precautions</w:t>
            </w:r>
          </w:p>
        </w:tc>
        <w:tc>
          <w:tcPr>
            <w:tcW w:w="6032" w:type="dxa"/>
          </w:tcPr>
          <w:p w14:paraId="3BC35901" w14:textId="3A35D798" w:rsidR="00011170" w:rsidRDefault="00011170" w:rsidP="00D779CD">
            <w:pPr>
              <w:pStyle w:val="BodyText"/>
            </w:pPr>
            <w:r w:rsidRPr="00011170">
              <w:t>strict compliance with hand hygiene and wearing a cap, mask, sterile gown, and sterile gloves.</w:t>
            </w:r>
            <w:r w:rsidR="00951F52">
              <w:t xml:space="preserve"> T</w:t>
            </w:r>
            <w:r w:rsidRPr="00011170">
              <w:t>he use of maximal head barrier precautions reduces the r</w:t>
            </w:r>
            <w:r w:rsidR="00951F52">
              <w:t>i</w:t>
            </w:r>
            <w:r w:rsidRPr="00011170">
              <w:t>sk of catheter infection.</w:t>
            </w:r>
          </w:p>
        </w:tc>
      </w:tr>
      <w:tr w:rsidR="00011170" w14:paraId="44ADB58F" w14:textId="6E335081" w:rsidTr="00011170">
        <w:trPr>
          <w:trHeight w:val="531"/>
        </w:trPr>
        <w:tc>
          <w:tcPr>
            <w:tcW w:w="2607" w:type="dxa"/>
          </w:tcPr>
          <w:p w14:paraId="5FAB2B6C" w14:textId="67C7A63C" w:rsidR="00011170" w:rsidRDefault="00011170" w:rsidP="00D779CD">
            <w:pPr>
              <w:pStyle w:val="BodyText"/>
            </w:pPr>
            <w:r w:rsidRPr="00011170">
              <w:t>Prophylactic antibiotics</w:t>
            </w:r>
          </w:p>
        </w:tc>
        <w:tc>
          <w:tcPr>
            <w:tcW w:w="6032" w:type="dxa"/>
          </w:tcPr>
          <w:p w14:paraId="41A4460C" w14:textId="0B8F35D2" w:rsidR="00011170" w:rsidRDefault="00951F52" w:rsidP="00D779CD">
            <w:pPr>
              <w:pStyle w:val="BodyText"/>
            </w:pPr>
            <w:r w:rsidRPr="00951F52">
              <w:t>the use of antibiotic to prevent infection before an invasive procedure.</w:t>
            </w:r>
          </w:p>
        </w:tc>
      </w:tr>
      <w:tr w:rsidR="00011170" w14:paraId="1631C079" w14:textId="5094A5D8" w:rsidTr="00011170">
        <w:trPr>
          <w:trHeight w:val="531"/>
        </w:trPr>
        <w:tc>
          <w:tcPr>
            <w:tcW w:w="2607" w:type="dxa"/>
          </w:tcPr>
          <w:p w14:paraId="45F2FF1C" w14:textId="17F21606" w:rsidR="00011170" w:rsidRDefault="00011170" w:rsidP="00D779CD">
            <w:pPr>
              <w:pStyle w:val="BodyText"/>
            </w:pPr>
            <w:r w:rsidRPr="00011170">
              <w:t>Transmission based precautions</w:t>
            </w:r>
          </w:p>
        </w:tc>
        <w:tc>
          <w:tcPr>
            <w:tcW w:w="6032" w:type="dxa"/>
          </w:tcPr>
          <w:p w14:paraId="71AB39DD" w14:textId="2472AEDB" w:rsidR="00011170" w:rsidRDefault="00951F52" w:rsidP="00D779CD">
            <w:pPr>
              <w:pStyle w:val="BodyText"/>
            </w:pPr>
            <w:r w:rsidRPr="00951F52">
              <w:t>used in addition to standard precautions to minimise the transmission of healthcare-associated infections where the suspected or confirmed presence of infectious agents represents an increased risk of transmission.</w:t>
            </w:r>
          </w:p>
        </w:tc>
      </w:tr>
    </w:tbl>
    <w:p w14:paraId="50A250C8" w14:textId="036AD73D" w:rsidR="00406F2D" w:rsidRDefault="00406F2D" w:rsidP="00D779CD">
      <w:pPr>
        <w:pStyle w:val="BodyText"/>
      </w:pPr>
    </w:p>
    <w:p w14:paraId="27888494" w14:textId="77777777" w:rsidR="00951F52" w:rsidRDefault="00951F52" w:rsidP="00951F52">
      <w:pPr>
        <w:pStyle w:val="Heading1"/>
      </w:pPr>
      <w:bookmarkStart w:id="31" w:name="_Toc28002374"/>
      <w:r>
        <w:t>Document approval details</w:t>
      </w:r>
      <w:bookmarkEnd w:id="31"/>
    </w:p>
    <w:p w14:paraId="34CFE6F3" w14:textId="3B52F1F1" w:rsidR="00951F52" w:rsidRDefault="00951F52" w:rsidP="001E4E67">
      <w:pPr>
        <w:pStyle w:val="Heading2"/>
      </w:pPr>
      <w:bookmarkStart w:id="32" w:name="_Toc28002375"/>
      <w:r>
        <w:t>Version control</w:t>
      </w:r>
      <w:bookmarkEnd w:id="32"/>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1875"/>
        <w:gridCol w:w="1980"/>
        <w:gridCol w:w="3361"/>
      </w:tblGrid>
      <w:tr w:rsidR="00951F52" w14:paraId="738BC7D3" w14:textId="13011D83" w:rsidTr="0087737A">
        <w:trPr>
          <w:trHeight w:val="440"/>
        </w:trPr>
        <w:tc>
          <w:tcPr>
            <w:tcW w:w="1288" w:type="dxa"/>
          </w:tcPr>
          <w:p w14:paraId="66A8C49E" w14:textId="4A3BD7C2" w:rsidR="00951F52" w:rsidRDefault="00951F52" w:rsidP="00D779CD">
            <w:pPr>
              <w:pStyle w:val="BodyText"/>
            </w:pPr>
            <w:r>
              <w:t>Version</w:t>
            </w:r>
          </w:p>
        </w:tc>
        <w:tc>
          <w:tcPr>
            <w:tcW w:w="1875" w:type="dxa"/>
          </w:tcPr>
          <w:p w14:paraId="1BA404B6" w14:textId="686B6182" w:rsidR="00951F52" w:rsidRDefault="00951F52" w:rsidP="00D779CD">
            <w:pPr>
              <w:pStyle w:val="BodyText"/>
            </w:pPr>
            <w:r>
              <w:t>Date</w:t>
            </w:r>
          </w:p>
        </w:tc>
        <w:tc>
          <w:tcPr>
            <w:tcW w:w="1980" w:type="dxa"/>
          </w:tcPr>
          <w:p w14:paraId="2FFDC1BC" w14:textId="641C19C6" w:rsidR="00951F52" w:rsidRDefault="00951F52" w:rsidP="00D779CD">
            <w:pPr>
              <w:pStyle w:val="BodyText"/>
            </w:pPr>
            <w:r>
              <w:t>Prepared by</w:t>
            </w:r>
          </w:p>
        </w:tc>
        <w:tc>
          <w:tcPr>
            <w:tcW w:w="3361" w:type="dxa"/>
          </w:tcPr>
          <w:p w14:paraId="2CD5EC61" w14:textId="6B78CE07" w:rsidR="00951F52" w:rsidRDefault="00951F52" w:rsidP="00D779CD">
            <w:pPr>
              <w:pStyle w:val="BodyText"/>
            </w:pPr>
            <w:r>
              <w:t>Comments</w:t>
            </w:r>
          </w:p>
        </w:tc>
      </w:tr>
      <w:tr w:rsidR="00951F52" w14:paraId="1B90ED9A" w14:textId="3348F1E0" w:rsidTr="0087737A">
        <w:trPr>
          <w:trHeight w:val="440"/>
        </w:trPr>
        <w:tc>
          <w:tcPr>
            <w:tcW w:w="1288" w:type="dxa"/>
          </w:tcPr>
          <w:p w14:paraId="797F168C" w14:textId="45FAB8E5" w:rsidR="00951F52" w:rsidRDefault="00951F52" w:rsidP="00D779CD">
            <w:pPr>
              <w:pStyle w:val="BodyText"/>
            </w:pPr>
            <w:r>
              <w:t>1.0</w:t>
            </w:r>
          </w:p>
        </w:tc>
        <w:tc>
          <w:tcPr>
            <w:tcW w:w="1875" w:type="dxa"/>
          </w:tcPr>
          <w:p w14:paraId="2CD5E10F" w14:textId="0BDA92D5" w:rsidR="00951F52" w:rsidRDefault="00951F52" w:rsidP="00D779CD">
            <w:pPr>
              <w:pStyle w:val="BodyText"/>
            </w:pPr>
            <w:r>
              <w:t>2012</w:t>
            </w:r>
          </w:p>
        </w:tc>
        <w:tc>
          <w:tcPr>
            <w:tcW w:w="1980" w:type="dxa"/>
          </w:tcPr>
          <w:p w14:paraId="049C1CF1" w14:textId="077CA881" w:rsidR="00951F52" w:rsidRDefault="00951F52" w:rsidP="00D779CD">
            <w:pPr>
              <w:pStyle w:val="BodyText"/>
            </w:pPr>
            <w:r>
              <w:t>CHRISP</w:t>
            </w:r>
          </w:p>
        </w:tc>
        <w:tc>
          <w:tcPr>
            <w:tcW w:w="3361" w:type="dxa"/>
          </w:tcPr>
          <w:p w14:paraId="1073E569" w14:textId="781266B4" w:rsidR="00951F52" w:rsidRDefault="00951F52" w:rsidP="00D779CD">
            <w:pPr>
              <w:pStyle w:val="BodyText"/>
            </w:pPr>
            <w:r w:rsidRPr="00951F52">
              <w:t>[QH-GDL-321-6-1:2012] Rescinded</w:t>
            </w:r>
          </w:p>
        </w:tc>
      </w:tr>
      <w:tr w:rsidR="00951F52" w14:paraId="0EB77DAD" w14:textId="731F8A67" w:rsidTr="0087737A">
        <w:trPr>
          <w:trHeight w:val="440"/>
        </w:trPr>
        <w:tc>
          <w:tcPr>
            <w:tcW w:w="1288" w:type="dxa"/>
          </w:tcPr>
          <w:p w14:paraId="3D6960E8" w14:textId="648FC2AF" w:rsidR="00951F52" w:rsidRDefault="0087737A" w:rsidP="00D779CD">
            <w:pPr>
              <w:pStyle w:val="BodyText"/>
            </w:pPr>
            <w:r>
              <w:t>2.0</w:t>
            </w:r>
          </w:p>
        </w:tc>
        <w:tc>
          <w:tcPr>
            <w:tcW w:w="1875" w:type="dxa"/>
          </w:tcPr>
          <w:p w14:paraId="138009AC" w14:textId="5EEB6248" w:rsidR="00951F52" w:rsidRDefault="0087737A" w:rsidP="00D779CD">
            <w:pPr>
              <w:pStyle w:val="BodyText"/>
            </w:pPr>
            <w:r>
              <w:t>March 2013</w:t>
            </w:r>
          </w:p>
        </w:tc>
        <w:tc>
          <w:tcPr>
            <w:tcW w:w="1980" w:type="dxa"/>
          </w:tcPr>
          <w:p w14:paraId="34DBBE96" w14:textId="49CEE2E6" w:rsidR="00951F52" w:rsidRDefault="0087737A" w:rsidP="00D779CD">
            <w:pPr>
              <w:pStyle w:val="BodyText"/>
            </w:pPr>
            <w:r>
              <w:t>CHRISP</w:t>
            </w:r>
          </w:p>
        </w:tc>
        <w:tc>
          <w:tcPr>
            <w:tcW w:w="3361" w:type="dxa"/>
          </w:tcPr>
          <w:p w14:paraId="1C0D8EDA" w14:textId="77777777" w:rsidR="00951F52" w:rsidRDefault="00951F52" w:rsidP="00D779CD">
            <w:pPr>
              <w:pStyle w:val="BodyText"/>
            </w:pPr>
          </w:p>
        </w:tc>
      </w:tr>
      <w:tr w:rsidR="00951F52" w14:paraId="4E0E08FD" w14:textId="28A9FB51" w:rsidTr="0087737A">
        <w:trPr>
          <w:trHeight w:val="440"/>
        </w:trPr>
        <w:tc>
          <w:tcPr>
            <w:tcW w:w="1288" w:type="dxa"/>
          </w:tcPr>
          <w:p w14:paraId="7A7DFADE" w14:textId="687F6DC7" w:rsidR="00951F52" w:rsidRDefault="0087737A" w:rsidP="00D779CD">
            <w:pPr>
              <w:pStyle w:val="BodyText"/>
            </w:pPr>
            <w:r>
              <w:t>3.0</w:t>
            </w:r>
          </w:p>
        </w:tc>
        <w:tc>
          <w:tcPr>
            <w:tcW w:w="1875" w:type="dxa"/>
          </w:tcPr>
          <w:p w14:paraId="6FFDC5E6" w14:textId="1401C9B0" w:rsidR="00951F52" w:rsidRDefault="0087737A" w:rsidP="00D779CD">
            <w:pPr>
              <w:pStyle w:val="BodyText"/>
            </w:pPr>
            <w:r>
              <w:t>January 2015</w:t>
            </w:r>
          </w:p>
        </w:tc>
        <w:tc>
          <w:tcPr>
            <w:tcW w:w="1980" w:type="dxa"/>
          </w:tcPr>
          <w:p w14:paraId="7EB195BC" w14:textId="59F50A89" w:rsidR="00951F52" w:rsidRDefault="0087737A" w:rsidP="00D779CD">
            <w:pPr>
              <w:pStyle w:val="BodyText"/>
            </w:pPr>
            <w:r>
              <w:t>CDIM</w:t>
            </w:r>
          </w:p>
        </w:tc>
        <w:tc>
          <w:tcPr>
            <w:tcW w:w="3361" w:type="dxa"/>
          </w:tcPr>
          <w:p w14:paraId="1C1B2A52" w14:textId="77777777" w:rsidR="00951F52" w:rsidRDefault="00951F52" w:rsidP="00D779CD">
            <w:pPr>
              <w:pStyle w:val="BodyText"/>
            </w:pPr>
          </w:p>
        </w:tc>
      </w:tr>
      <w:tr w:rsidR="00951F52" w14:paraId="6662DC20" w14:textId="56DB1477" w:rsidTr="0087737A">
        <w:trPr>
          <w:trHeight w:val="440"/>
        </w:trPr>
        <w:tc>
          <w:tcPr>
            <w:tcW w:w="1288" w:type="dxa"/>
          </w:tcPr>
          <w:p w14:paraId="238CAA02" w14:textId="74540F98" w:rsidR="00951F52" w:rsidRDefault="0087737A" w:rsidP="00D779CD">
            <w:pPr>
              <w:pStyle w:val="BodyText"/>
            </w:pPr>
            <w:r>
              <w:t xml:space="preserve">4.0 </w:t>
            </w:r>
          </w:p>
        </w:tc>
        <w:tc>
          <w:tcPr>
            <w:tcW w:w="1875" w:type="dxa"/>
          </w:tcPr>
          <w:p w14:paraId="3F1EB351" w14:textId="5AB92026" w:rsidR="00951F52" w:rsidRDefault="0087737A" w:rsidP="00D779CD">
            <w:pPr>
              <w:pStyle w:val="BodyText"/>
            </w:pPr>
            <w:r>
              <w:t>November 2019</w:t>
            </w:r>
          </w:p>
        </w:tc>
        <w:tc>
          <w:tcPr>
            <w:tcW w:w="1980" w:type="dxa"/>
          </w:tcPr>
          <w:p w14:paraId="4FEC5610" w14:textId="372194A5" w:rsidR="00951F52" w:rsidRDefault="0087737A" w:rsidP="00D779CD">
            <w:pPr>
              <w:pStyle w:val="BodyText"/>
            </w:pPr>
            <w:r>
              <w:t>CDIM</w:t>
            </w:r>
          </w:p>
        </w:tc>
        <w:tc>
          <w:tcPr>
            <w:tcW w:w="3361" w:type="dxa"/>
          </w:tcPr>
          <w:p w14:paraId="2DACF6BE" w14:textId="5BCB7360" w:rsidR="00951F52" w:rsidRDefault="0087737A" w:rsidP="00D779CD">
            <w:pPr>
              <w:pStyle w:val="BodyText"/>
            </w:pPr>
            <w:r>
              <w:t>Complete review of document</w:t>
            </w:r>
          </w:p>
        </w:tc>
      </w:tr>
    </w:tbl>
    <w:p w14:paraId="7E01F227" w14:textId="27760786" w:rsidR="00D779CD" w:rsidRDefault="00D779CD" w:rsidP="00D779CD">
      <w:pPr>
        <w:pStyle w:val="BodyText"/>
      </w:pPr>
    </w:p>
    <w:p w14:paraId="5F4BEA6F" w14:textId="156C6EDE" w:rsidR="0087737A" w:rsidRDefault="0087737A" w:rsidP="0087737A">
      <w:pPr>
        <w:pStyle w:val="Heading1"/>
      </w:pPr>
      <w:bookmarkStart w:id="33" w:name="_Toc28002376"/>
      <w:r>
        <w:lastRenderedPageBreak/>
        <w:t>Appendix 1</w:t>
      </w:r>
      <w:bookmarkEnd w:id="33"/>
      <w:r>
        <w:t xml:space="preserve"> </w:t>
      </w:r>
    </w:p>
    <w:p w14:paraId="7E6D8427" w14:textId="77777777" w:rsidR="0087737A" w:rsidRDefault="0087737A" w:rsidP="0087737A">
      <w:pPr>
        <w:pStyle w:val="Heading2"/>
      </w:pPr>
      <w:r>
        <w:t xml:space="preserve"> </w:t>
      </w:r>
      <w:bookmarkStart w:id="34" w:name="_Toc28002377"/>
      <w:r>
        <w:t>Tunnelled CVC specific information</w:t>
      </w:r>
      <w:bookmarkEnd w:id="34"/>
    </w:p>
    <w:p w14:paraId="4A73D895" w14:textId="77777777" w:rsidR="0087737A" w:rsidRDefault="0087737A" w:rsidP="0087737A">
      <w:pPr>
        <w:pStyle w:val="BodyText"/>
      </w:pPr>
      <w:r>
        <w:t xml:space="preserve">This line specific information is intended to provide guidance on the minimum standards to       ensure prevention of infection with specific devices and is not intended to address insertion     techniques or device use. </w:t>
      </w:r>
    </w:p>
    <w:p w14:paraId="5948B541" w14:textId="3BC3DB12" w:rsidR="0087737A" w:rsidRPr="00F4744C" w:rsidRDefault="0087737A" w:rsidP="00F4744C">
      <w:pPr>
        <w:pStyle w:val="BodyText"/>
      </w:pPr>
      <w:r w:rsidRPr="00F4744C">
        <w:t>Surgically inserted into an incision in the chest and tunnelled through the soft tissue beneath the skin of the clavicle then advanced to the superior vena cava.</w:t>
      </w:r>
    </w:p>
    <w:p w14:paraId="555E5262" w14:textId="02541D79" w:rsidR="0087737A" w:rsidRPr="00F4744C" w:rsidRDefault="0087737A" w:rsidP="00F4744C">
      <w:pPr>
        <w:pStyle w:val="BodyText"/>
      </w:pPr>
      <w:r w:rsidRPr="00F4744C">
        <w:t>A transparent dressing should be used over the exit site until it is well healed</w:t>
      </w:r>
      <w:r w:rsidRPr="00F4744C">
        <w:rPr>
          <w:vertAlign w:val="superscript"/>
        </w:rPr>
        <w:t>3</w:t>
      </w:r>
      <w:r w:rsidRPr="00F4744C">
        <w:t xml:space="preserve"> or patient is no longer immunocompromised.</w:t>
      </w:r>
    </w:p>
    <w:p w14:paraId="1E8B564A" w14:textId="0476E188" w:rsidR="0087737A" w:rsidRPr="00F4744C" w:rsidRDefault="0087737A" w:rsidP="00F4744C">
      <w:pPr>
        <w:pStyle w:val="BodyText"/>
      </w:pPr>
      <w:r w:rsidRPr="00F4744C">
        <w:t>Consider use of tissue adhesive to reduce post-operative bleeding immediately post CVC insertion.</w:t>
      </w:r>
    </w:p>
    <w:p w14:paraId="627A22CE" w14:textId="75B592D2" w:rsidR="0087737A" w:rsidRPr="00F4744C" w:rsidRDefault="0087737A" w:rsidP="00F4744C">
      <w:pPr>
        <w:pStyle w:val="BodyText"/>
      </w:pPr>
      <w:r w:rsidRPr="00F4744C">
        <w:t xml:space="preserve">Allow three weeks for the cuff to become ingrown and act as securement. A dressing must remain in place for </w:t>
      </w:r>
      <w:r w:rsidR="00F4744C">
        <w:t>3</w:t>
      </w:r>
      <w:r w:rsidRPr="00F4744C">
        <w:t xml:space="preserve">weeks if the patient is immunocompromised. </w:t>
      </w:r>
    </w:p>
    <w:p w14:paraId="02963572" w14:textId="12D88498" w:rsidR="0087737A" w:rsidRPr="00F4744C" w:rsidRDefault="0087737A" w:rsidP="00F4744C">
      <w:pPr>
        <w:pStyle w:val="BodyText"/>
      </w:pPr>
      <w:r w:rsidRPr="00F4744C">
        <w:t>Document actual tip location and confirm prior to commencement of IVT</w:t>
      </w:r>
    </w:p>
    <w:p w14:paraId="578D0C83" w14:textId="76F5D59C" w:rsidR="0087737A" w:rsidRPr="00F4744C" w:rsidRDefault="0087737A" w:rsidP="00F4744C">
      <w:pPr>
        <w:pStyle w:val="BodyText"/>
      </w:pPr>
      <w:r w:rsidRPr="00F4744C">
        <w:t xml:space="preserve">If applicable, remove sutures from the entry site at </w:t>
      </w:r>
      <w:r w:rsidR="00161A5D">
        <w:t>1</w:t>
      </w:r>
      <w:r w:rsidRPr="00F4744C">
        <w:t xml:space="preserve">-week post insertion and exit site at </w:t>
      </w:r>
      <w:r w:rsidR="00161A5D">
        <w:t>3</w:t>
      </w:r>
      <w:r w:rsidR="00161A5D" w:rsidRPr="00F4744C">
        <w:t xml:space="preserve"> </w:t>
      </w:r>
      <w:r w:rsidRPr="00F4744C">
        <w:t xml:space="preserve">weeks post insertion. </w:t>
      </w:r>
    </w:p>
    <w:p w14:paraId="5925DCFA" w14:textId="76429A6B" w:rsidR="0087737A" w:rsidRPr="00F4744C" w:rsidRDefault="0087737A" w:rsidP="00F4744C">
      <w:pPr>
        <w:pStyle w:val="BodyText"/>
      </w:pPr>
      <w:r w:rsidRPr="00F4744C">
        <w:t>It may be preferable for tunnelled CVCs to be managed without a dressing. Assess individual patient, clinical need and patient’s preference to decide if dressing will continue. Consider the following for suitability of being dressing-free:</w:t>
      </w:r>
    </w:p>
    <w:p w14:paraId="1C9B3611" w14:textId="39F770B4" w:rsidR="0087737A" w:rsidRPr="00F4744C" w:rsidRDefault="0087737A" w:rsidP="00F4744C">
      <w:pPr>
        <w:pStyle w:val="ListBullet"/>
      </w:pPr>
      <w:r w:rsidRPr="00F4744C">
        <w:t>non-immunocompromised patient</w:t>
      </w:r>
    </w:p>
    <w:p w14:paraId="0975FC73" w14:textId="24A7EB28" w:rsidR="0087737A" w:rsidRPr="00F4744C" w:rsidRDefault="0087737A" w:rsidP="00F4744C">
      <w:pPr>
        <w:pStyle w:val="ListBullet"/>
      </w:pPr>
      <w:r w:rsidRPr="00F4744C">
        <w:t>reddened, painful and ulcerated surrounding skin</w:t>
      </w:r>
    </w:p>
    <w:p w14:paraId="0E628C31" w14:textId="4FF8A49A" w:rsidR="0087737A" w:rsidRPr="00F4744C" w:rsidRDefault="0087737A" w:rsidP="00F4744C">
      <w:pPr>
        <w:pStyle w:val="ListBullet"/>
      </w:pPr>
      <w:r w:rsidRPr="00F4744C">
        <w:t>known adhesive allergies and adhesive-related skin injury</w:t>
      </w:r>
    </w:p>
    <w:p w14:paraId="75A8E10E" w14:textId="5A0B655F" w:rsidR="0087737A" w:rsidRPr="00F4744C" w:rsidRDefault="0087737A" w:rsidP="00F4744C">
      <w:pPr>
        <w:pStyle w:val="BodyText"/>
      </w:pPr>
      <w:r w:rsidRPr="00F4744C">
        <w:t>Written information about the care of the tunnelled CVC should be provided to the patient</w:t>
      </w:r>
      <w:r w:rsidR="00161A5D">
        <w:t>.</w:t>
      </w:r>
      <w:r w:rsidRPr="00161A5D">
        <w:rPr>
          <w:vertAlign w:val="superscript"/>
        </w:rPr>
        <w:t>3</w:t>
      </w:r>
      <w:r w:rsidRPr="00F4744C">
        <w:t xml:space="preserve"> Where a patient is to be an outpatient for the use of this device, additional care information may be required. A patient’s understanding of this information should be checked prior to discharge. Practical and theoretical training is recommended to be provided by clinicians that includes step-by step instructions in text and images, dressing changes, hygiene, flushing techniques and handling of catheter.</w:t>
      </w:r>
    </w:p>
    <w:p w14:paraId="6ACECB32" w14:textId="0B141DE1" w:rsidR="0087737A" w:rsidRPr="00F4744C" w:rsidRDefault="0087737A" w:rsidP="00F4744C">
      <w:pPr>
        <w:pStyle w:val="BodyText"/>
      </w:pPr>
      <w:r w:rsidRPr="00F4744C">
        <w:t>Confirm medical order for removal</w:t>
      </w:r>
    </w:p>
    <w:p w14:paraId="1A5639C6" w14:textId="0EE7E991" w:rsidR="0087737A" w:rsidRPr="00F4744C" w:rsidRDefault="0087737A" w:rsidP="00F4744C">
      <w:pPr>
        <w:pStyle w:val="BodyText"/>
      </w:pPr>
      <w:r w:rsidRPr="00F4744C">
        <w:t>Removal only by qualified clinician as may require surgical intervention for cuff removal.</w:t>
      </w:r>
    </w:p>
    <w:p w14:paraId="78F3171A" w14:textId="5884687D" w:rsidR="0087737A" w:rsidRPr="00F4744C" w:rsidRDefault="0087737A" w:rsidP="00F4744C">
      <w:pPr>
        <w:pStyle w:val="BodyText"/>
      </w:pPr>
      <w:r w:rsidRPr="00F4744C">
        <w:t>The Valsalva technique should be utilised for removal and digital pressure to the vein puncture site applied until haemostasis is achieved, followed by an occlusive dressing to minimise risk of air embolism and bleeding.</w:t>
      </w:r>
    </w:p>
    <w:p w14:paraId="760B74CC" w14:textId="0128925F" w:rsidR="0087737A" w:rsidRPr="00F4744C" w:rsidRDefault="0087737A" w:rsidP="00F4744C">
      <w:pPr>
        <w:pStyle w:val="BodyText"/>
      </w:pPr>
      <w:r w:rsidRPr="00F4744C">
        <w:t>Assess line integrity following removal.</w:t>
      </w:r>
    </w:p>
    <w:p w14:paraId="70C4B5A7" w14:textId="3DD35FF9" w:rsidR="00161A5D" w:rsidRDefault="00161A5D" w:rsidP="00161A5D">
      <w:pPr>
        <w:pStyle w:val="BodyText"/>
      </w:pPr>
      <w:r>
        <w:br w:type="page"/>
      </w:r>
    </w:p>
    <w:p w14:paraId="4579B2AA" w14:textId="77777777" w:rsidR="00161A5D" w:rsidRDefault="00161A5D" w:rsidP="00161A5D">
      <w:pPr>
        <w:pStyle w:val="Heading1"/>
      </w:pPr>
      <w:bookmarkStart w:id="35" w:name="_Toc28002378"/>
      <w:r>
        <w:lastRenderedPageBreak/>
        <w:t>Appendix 2</w:t>
      </w:r>
      <w:bookmarkEnd w:id="35"/>
      <w:r>
        <w:t xml:space="preserve"> </w:t>
      </w:r>
    </w:p>
    <w:p w14:paraId="68C80C48" w14:textId="77777777" w:rsidR="00161A5D" w:rsidRDefault="00161A5D" w:rsidP="00161A5D">
      <w:pPr>
        <w:pStyle w:val="Heading2"/>
      </w:pPr>
      <w:bookmarkStart w:id="36" w:name="_Toc28002379"/>
      <w:r>
        <w:t>PICC specific information</w:t>
      </w:r>
      <w:bookmarkEnd w:id="36"/>
    </w:p>
    <w:p w14:paraId="5D8C0EE8" w14:textId="77777777" w:rsidR="00161A5D" w:rsidRDefault="00161A5D" w:rsidP="00161A5D">
      <w:pPr>
        <w:pStyle w:val="BodyText"/>
      </w:pPr>
      <w:r>
        <w:t>This line specific information is intended to provide guidance on the minimum standards to       ensure prevention of infection with specific devices and is not intended to address insertion     techniques or device use.</w:t>
      </w:r>
    </w:p>
    <w:p w14:paraId="6124B192" w14:textId="499C9008" w:rsidR="00161A5D" w:rsidRDefault="00161A5D" w:rsidP="00161A5D">
      <w:pPr>
        <w:pStyle w:val="BodyText"/>
      </w:pPr>
      <w:r>
        <w:t>Ultrasound guidance with or without ECG Technology must be used for insertion to avoid possible mechanical complications and numbers of attempted cannulations</w:t>
      </w:r>
      <w:r w:rsidR="009901E2">
        <w:t>.</w:t>
      </w:r>
      <w:r w:rsidRPr="009901E2">
        <w:rPr>
          <w:vertAlign w:val="superscript"/>
        </w:rPr>
        <w:t>6</w:t>
      </w:r>
    </w:p>
    <w:p w14:paraId="57BD1F54" w14:textId="3845F8D5" w:rsidR="00161A5D" w:rsidRDefault="00161A5D" w:rsidP="00161A5D">
      <w:pPr>
        <w:pStyle w:val="BodyText"/>
      </w:pPr>
      <w:r>
        <w:t>Select a PICC with the least number of lumens essential to patient management.</w:t>
      </w:r>
    </w:p>
    <w:p w14:paraId="0D67CBEF" w14:textId="7B2646F9" w:rsidR="00161A5D" w:rsidRDefault="00161A5D" w:rsidP="00161A5D">
      <w:pPr>
        <w:pStyle w:val="BodyText"/>
      </w:pPr>
      <w:r>
        <w:t>The use of a non-suture securement device is recommended.</w:t>
      </w:r>
    </w:p>
    <w:p w14:paraId="6207514F" w14:textId="2A6EBBBB" w:rsidR="00161A5D" w:rsidRDefault="00161A5D" w:rsidP="00161A5D">
      <w:pPr>
        <w:pStyle w:val="BodyText"/>
      </w:pPr>
      <w:r>
        <w:t>The use of Chlorhexidine impregnated sponge dressings under the transparent dressing is recommended in adult populations</w:t>
      </w:r>
      <w:r w:rsidR="009901E2">
        <w:t>.</w:t>
      </w:r>
      <w:r w:rsidRPr="009901E2">
        <w:rPr>
          <w:vertAlign w:val="superscript"/>
        </w:rPr>
        <w:t>5</w:t>
      </w:r>
    </w:p>
    <w:p w14:paraId="4DC73A76" w14:textId="1FB99B63" w:rsidR="00161A5D" w:rsidRDefault="00161A5D" w:rsidP="00161A5D">
      <w:pPr>
        <w:pStyle w:val="BodyText"/>
      </w:pPr>
      <w:r>
        <w:t>Tip location confirmation should be done prior to first-time use. Literature supports the use of ECG confirmation systems as an acceptable alternative to X-ray confirmation alone. Local procedure must support the use of such systems before their implementation. Staff must be educated and assessed as competent in the systems use prior to implementation</w:t>
      </w:r>
      <w:r w:rsidR="009901E2">
        <w:t>.</w:t>
      </w:r>
      <w:r w:rsidRPr="009901E2">
        <w:rPr>
          <w:vertAlign w:val="superscript"/>
        </w:rPr>
        <w:t>6</w:t>
      </w:r>
    </w:p>
    <w:p w14:paraId="6F1A96E2" w14:textId="53D4FC09" w:rsidR="00161A5D" w:rsidRDefault="00161A5D" w:rsidP="00161A5D">
      <w:pPr>
        <w:pStyle w:val="BodyText"/>
      </w:pPr>
      <w:r>
        <w:t>Removal of PICC:</w:t>
      </w:r>
    </w:p>
    <w:p w14:paraId="6A1B4A05" w14:textId="38953BB5" w:rsidR="00161A5D" w:rsidRDefault="00161A5D" w:rsidP="00161A5D">
      <w:pPr>
        <w:pStyle w:val="ListBullet"/>
      </w:pPr>
      <w:r>
        <w:t>Also refer to local procedure regarding PICC removal.</w:t>
      </w:r>
    </w:p>
    <w:p w14:paraId="33F38DA4" w14:textId="04373977" w:rsidR="00161A5D" w:rsidRDefault="00161A5D" w:rsidP="00161A5D">
      <w:pPr>
        <w:pStyle w:val="ListBullet"/>
      </w:pPr>
      <w:r>
        <w:t>Gather required equipment.</w:t>
      </w:r>
    </w:p>
    <w:p w14:paraId="218D8EAB" w14:textId="1B2A800C" w:rsidR="00161A5D" w:rsidRDefault="00161A5D" w:rsidP="00161A5D">
      <w:pPr>
        <w:pStyle w:val="ListBullet"/>
      </w:pPr>
      <w:r>
        <w:t xml:space="preserve">Check if tip culture is required (See: Culturing – line tips, for more information) </w:t>
      </w:r>
    </w:p>
    <w:p w14:paraId="4EA6F18A" w14:textId="4B96C180" w:rsidR="00161A5D" w:rsidRDefault="00161A5D" w:rsidP="00161A5D">
      <w:pPr>
        <w:pStyle w:val="ListBullet"/>
      </w:pPr>
      <w:r>
        <w:t>Perform hand hygiene.</w:t>
      </w:r>
    </w:p>
    <w:p w14:paraId="758D168B" w14:textId="5B3D527C" w:rsidR="00161A5D" w:rsidRDefault="00161A5D" w:rsidP="00161A5D">
      <w:pPr>
        <w:pStyle w:val="ListBullet"/>
      </w:pPr>
      <w:r>
        <w:t>Don PPE.</w:t>
      </w:r>
    </w:p>
    <w:p w14:paraId="40A6C36A" w14:textId="3777A44F" w:rsidR="00161A5D" w:rsidRDefault="00161A5D" w:rsidP="00161A5D">
      <w:pPr>
        <w:pStyle w:val="ListBullet"/>
      </w:pPr>
      <w:r>
        <w:t>Remove securement and dressing.</w:t>
      </w:r>
    </w:p>
    <w:p w14:paraId="58A38928" w14:textId="5010AD91" w:rsidR="00161A5D" w:rsidRDefault="00161A5D" w:rsidP="00161A5D">
      <w:pPr>
        <w:pStyle w:val="ListBullet"/>
      </w:pPr>
      <w:r>
        <w:t>Clean the area around PICC with alcoholic 2</w:t>
      </w:r>
      <w:r w:rsidR="009901E2">
        <w:t>percent</w:t>
      </w:r>
      <w:r>
        <w:t xml:space="preserve"> chlorhexidine solution and allow to air dry.</w:t>
      </w:r>
    </w:p>
    <w:p w14:paraId="14D1A098" w14:textId="6427300B" w:rsidR="00161A5D" w:rsidRDefault="00161A5D" w:rsidP="00161A5D">
      <w:pPr>
        <w:pStyle w:val="ListBullet"/>
      </w:pPr>
      <w:r>
        <w:t>Gently pull device from patient whiles instructing patient to hold his breath / Valsalva technique when pulling from the patient and apply digital pressure at site until haemostasis is achieved.</w:t>
      </w:r>
    </w:p>
    <w:p w14:paraId="490AB19F" w14:textId="7CA43B2E" w:rsidR="00161A5D" w:rsidRDefault="00161A5D" w:rsidP="00161A5D">
      <w:pPr>
        <w:pStyle w:val="ListBullet"/>
      </w:pPr>
      <w:r>
        <w:t>Dress as per local policy.</w:t>
      </w:r>
    </w:p>
    <w:p w14:paraId="3A4D08C3" w14:textId="058C97BA" w:rsidR="00161A5D" w:rsidRDefault="00161A5D" w:rsidP="00161A5D">
      <w:pPr>
        <w:pStyle w:val="ListBullet"/>
      </w:pPr>
      <w:r>
        <w:t>Check line integrity following removal.</w:t>
      </w:r>
    </w:p>
    <w:p w14:paraId="3855FF2D" w14:textId="4D2B4329" w:rsidR="00161A5D" w:rsidRDefault="00161A5D" w:rsidP="00161A5D">
      <w:pPr>
        <w:pStyle w:val="ListBullet"/>
      </w:pPr>
      <w:r>
        <w:t>Measure the removed line and compare the measurement to the line length documented on insertion.</w:t>
      </w:r>
    </w:p>
    <w:p w14:paraId="562B2F1F" w14:textId="4A67F9FB" w:rsidR="00161A5D" w:rsidRDefault="00161A5D" w:rsidP="00161A5D">
      <w:pPr>
        <w:pStyle w:val="ListBullet"/>
      </w:pPr>
      <w:r>
        <w:t>Document the removal in the patient record, including the measurement and reason for removal.</w:t>
      </w:r>
    </w:p>
    <w:p w14:paraId="51BBA6EE" w14:textId="7C48671D" w:rsidR="00161A5D" w:rsidRDefault="00161A5D" w:rsidP="00161A5D">
      <w:pPr>
        <w:pStyle w:val="BodyText"/>
      </w:pPr>
      <w:r>
        <w:t>Routine replacement of PICCs is not recommended to prevent infection</w:t>
      </w:r>
      <w:r w:rsidR="009901E2">
        <w:t>.</w:t>
      </w:r>
      <w:r w:rsidRPr="009901E2">
        <w:rPr>
          <w:vertAlign w:val="superscript"/>
        </w:rPr>
        <w:t>5</w:t>
      </w:r>
    </w:p>
    <w:p w14:paraId="26FFDD2B" w14:textId="21B4235F" w:rsidR="00161A5D" w:rsidRDefault="00161A5D" w:rsidP="00161A5D">
      <w:pPr>
        <w:pStyle w:val="BodyText"/>
      </w:pPr>
      <w:r>
        <w:t>Consider use of antimicrobial PICC in patients at high risk of infection.</w:t>
      </w:r>
    </w:p>
    <w:p w14:paraId="40D472E4" w14:textId="06A1D3BB" w:rsidR="00161A5D" w:rsidRDefault="00161A5D" w:rsidP="00161A5D">
      <w:pPr>
        <w:pStyle w:val="BodyText"/>
      </w:pPr>
      <w:r>
        <w:t>Consider use of anti-thrombogenic PICC for patients at risk of developing thrombosis.</w:t>
      </w:r>
    </w:p>
    <w:p w14:paraId="31487E7A" w14:textId="1E3F18D0" w:rsidR="00161A5D" w:rsidRDefault="00161A5D" w:rsidP="00161A5D">
      <w:pPr>
        <w:pStyle w:val="BodyText"/>
      </w:pPr>
      <w:r>
        <w:lastRenderedPageBreak/>
        <w:t xml:space="preserve">Guidewire exchanges should only be considered where the risks of new insertion outweigh the risk of infection using the same site. </w:t>
      </w:r>
    </w:p>
    <w:p w14:paraId="4528EC81" w14:textId="3A09846B" w:rsidR="00161A5D" w:rsidRDefault="00161A5D" w:rsidP="00161A5D">
      <w:pPr>
        <w:pStyle w:val="BodyText"/>
      </w:pPr>
      <w:r>
        <w:t>If a guidewire exchange is to be used, new sterile gloves, drapes and skin preparation are to be used after handling the old catheter.</w:t>
      </w:r>
    </w:p>
    <w:p w14:paraId="4E05F711" w14:textId="4EE2FB09" w:rsidR="00161A5D" w:rsidRDefault="00161A5D" w:rsidP="00161A5D">
      <w:pPr>
        <w:pStyle w:val="BodyText"/>
      </w:pPr>
      <w:r>
        <w:t>Highlight the importance of hand hygiene in handling any device/line.</w:t>
      </w:r>
    </w:p>
    <w:p w14:paraId="6D3CC5F8" w14:textId="5CEEE8D5" w:rsidR="00161A5D" w:rsidRDefault="00161A5D" w:rsidP="00161A5D">
      <w:pPr>
        <w:pStyle w:val="BodyText"/>
        <w:rPr>
          <w:vertAlign w:val="superscript"/>
        </w:rPr>
      </w:pPr>
      <w:r>
        <w:t>Written information about the care of the PICC should be provided to the patient. Where a patient is to be an outpatient for the use of this device, additional care information may be required. A patient’s understanding of this information should be checked prior to discharge</w:t>
      </w:r>
      <w:r w:rsidR="003926AD">
        <w:t>.</w:t>
      </w:r>
      <w:r w:rsidRPr="003926AD">
        <w:rPr>
          <w:vertAlign w:val="superscript"/>
        </w:rPr>
        <w:t>6</w:t>
      </w:r>
    </w:p>
    <w:p w14:paraId="075D6BCE" w14:textId="77777777" w:rsidR="003926AD" w:rsidRDefault="003926AD" w:rsidP="003926AD">
      <w:pPr>
        <w:pStyle w:val="Heading1"/>
      </w:pPr>
      <w:bookmarkStart w:id="37" w:name="_Toc28002380"/>
      <w:r>
        <w:t>Appendix 3</w:t>
      </w:r>
      <w:bookmarkEnd w:id="37"/>
      <w:r>
        <w:t xml:space="preserve"> </w:t>
      </w:r>
    </w:p>
    <w:p w14:paraId="25FD7D87" w14:textId="77777777" w:rsidR="003926AD" w:rsidRDefault="003926AD" w:rsidP="003926AD">
      <w:pPr>
        <w:pStyle w:val="Heading2"/>
      </w:pPr>
      <w:bookmarkStart w:id="38" w:name="_Toc28002381"/>
      <w:r>
        <w:t>Percutaneous CVC specific information</w:t>
      </w:r>
      <w:bookmarkEnd w:id="38"/>
    </w:p>
    <w:p w14:paraId="08C566A8" w14:textId="77777777" w:rsidR="003926AD" w:rsidRDefault="003926AD" w:rsidP="003926AD">
      <w:pPr>
        <w:pStyle w:val="BodyText"/>
      </w:pPr>
      <w:r>
        <w:t>This line specific information is intended to provide guidance on the minimum standards to       ensure prevention of infection with specific devices and is not intended to address insertion     techniques or device use.</w:t>
      </w:r>
    </w:p>
    <w:p w14:paraId="180000DE" w14:textId="12584C1E" w:rsidR="003926AD" w:rsidRDefault="003926AD" w:rsidP="003926AD">
      <w:pPr>
        <w:pStyle w:val="BodyText"/>
      </w:pPr>
      <w:r>
        <w:t>Use ultrasound guidance for insertion where possible to avoid possible mechanical complications and numbers of attempted cannulations.</w:t>
      </w:r>
      <w:r w:rsidRPr="003926AD">
        <w:rPr>
          <w:vertAlign w:val="superscript"/>
        </w:rPr>
        <w:t>3, 5, 6</w:t>
      </w:r>
    </w:p>
    <w:p w14:paraId="532E0336" w14:textId="7C0D59A1" w:rsidR="003926AD" w:rsidRDefault="003926AD" w:rsidP="003926AD">
      <w:pPr>
        <w:pStyle w:val="BodyText"/>
      </w:pPr>
      <w:r>
        <w:t>Femoral and jugular sites should be avoided, and subclavian sites used in adult patients to reduce the possibility of infection.</w:t>
      </w:r>
      <w:r w:rsidRPr="003926AD">
        <w:rPr>
          <w:vertAlign w:val="superscript"/>
        </w:rPr>
        <w:t>3, 6</w:t>
      </w:r>
    </w:p>
    <w:p w14:paraId="273E2229" w14:textId="11A2F4ED" w:rsidR="003926AD" w:rsidRDefault="003926AD" w:rsidP="003926AD">
      <w:pPr>
        <w:pStyle w:val="BodyText"/>
      </w:pPr>
      <w:r>
        <w:t>Consider use of tissue adhesive to reduce post-operative bleeding immediately post CVC insertion.</w:t>
      </w:r>
    </w:p>
    <w:p w14:paraId="15B135D2" w14:textId="581FB9FA" w:rsidR="003926AD" w:rsidRDefault="003926AD" w:rsidP="003926AD">
      <w:pPr>
        <w:pStyle w:val="BodyText"/>
      </w:pPr>
      <w:r>
        <w:t xml:space="preserve">Guidewire exchanges are not recommended where there is evidence of infection. </w:t>
      </w:r>
    </w:p>
    <w:p w14:paraId="4A6A723C" w14:textId="19658393" w:rsidR="003926AD" w:rsidRDefault="003926AD" w:rsidP="003926AD">
      <w:pPr>
        <w:pStyle w:val="BodyText"/>
      </w:pPr>
      <w:r>
        <w:t>Guidewire exchanges increases the risk of infection. It should only be considered where the risks of a new insertion site outweigh the risk of infection using the same site.</w:t>
      </w:r>
    </w:p>
    <w:p w14:paraId="70AD436E" w14:textId="00B7A1E3" w:rsidR="003926AD" w:rsidRDefault="003926AD" w:rsidP="003926AD">
      <w:pPr>
        <w:pStyle w:val="BodyText"/>
      </w:pPr>
      <w:r>
        <w:t>If a guidewire exchange is to be used, new sterile gloves, drapes and skin preparation are to be used after handling the old catheter.</w:t>
      </w:r>
      <w:r w:rsidRPr="003926AD">
        <w:rPr>
          <w:vertAlign w:val="superscript"/>
        </w:rPr>
        <w:t>3</w:t>
      </w:r>
    </w:p>
    <w:p w14:paraId="4200D8C8" w14:textId="1BA21496" w:rsidR="003926AD" w:rsidRDefault="003926AD" w:rsidP="003926AD">
      <w:pPr>
        <w:pStyle w:val="BodyText"/>
      </w:pPr>
      <w:r>
        <w:t>Use a catheter with the minimum number of ports essential for patient management.</w:t>
      </w:r>
      <w:r w:rsidRPr="003926AD">
        <w:rPr>
          <w:vertAlign w:val="superscript"/>
        </w:rPr>
        <w:t>3</w:t>
      </w:r>
    </w:p>
    <w:p w14:paraId="35895A62" w14:textId="7041E345" w:rsidR="003926AD" w:rsidRDefault="003926AD" w:rsidP="003926AD">
      <w:pPr>
        <w:pStyle w:val="BodyText"/>
      </w:pPr>
      <w:r>
        <w:t>All attempts should be made to avoid blocked lumens. Where possible all lumens should be used to prevent blockages.</w:t>
      </w:r>
    </w:p>
    <w:p w14:paraId="715D2064" w14:textId="0DFC2855" w:rsidR="003926AD" w:rsidRDefault="003926AD" w:rsidP="003926AD">
      <w:pPr>
        <w:pStyle w:val="BodyText"/>
      </w:pPr>
      <w:r>
        <w:t>Where a lumen is not in use, adhere to local policy flush volume and frequency procedure.</w:t>
      </w:r>
    </w:p>
    <w:p w14:paraId="1CB07E69" w14:textId="37981FEE" w:rsidR="003926AD" w:rsidRDefault="003926AD" w:rsidP="003926AD">
      <w:pPr>
        <w:pStyle w:val="BodyText"/>
      </w:pPr>
      <w:r>
        <w:t>If a lumen becomes blocked and attempts to unblock the line are unsuccessful, the line should be removed within 24 hours.</w:t>
      </w:r>
    </w:p>
    <w:p w14:paraId="39EE5325" w14:textId="42484E0F" w:rsidR="003926AD" w:rsidRDefault="003926AD" w:rsidP="003926AD">
      <w:pPr>
        <w:pStyle w:val="BodyText"/>
      </w:pPr>
      <w:r>
        <w:t>Where aseptic technique cannot be ensured, the catheter should be replaced as soon as possible</w:t>
      </w:r>
      <w:r w:rsidR="002A7483">
        <w:t>.</w:t>
      </w:r>
      <w:r w:rsidRPr="002A7483">
        <w:rPr>
          <w:vertAlign w:val="superscript"/>
        </w:rPr>
        <w:t>3</w:t>
      </w:r>
    </w:p>
    <w:p w14:paraId="06F8737C" w14:textId="20F194FE" w:rsidR="003926AD" w:rsidRDefault="003926AD" w:rsidP="003926AD">
      <w:pPr>
        <w:pStyle w:val="BodyText"/>
      </w:pPr>
      <w:r>
        <w:t>Highlight the importance of hand hygiene in handling any device/line.</w:t>
      </w:r>
    </w:p>
    <w:p w14:paraId="54671D40" w14:textId="6AE76552" w:rsidR="003926AD" w:rsidRDefault="003926AD" w:rsidP="003926AD">
      <w:pPr>
        <w:pStyle w:val="BodyText"/>
      </w:pPr>
      <w:r>
        <w:t>Written information about the care of the CVC should be provided to the patient to ensure they understand the care required whilst in hospital.</w:t>
      </w:r>
    </w:p>
    <w:p w14:paraId="1F33BC59" w14:textId="77777777" w:rsidR="002A7483" w:rsidRDefault="002A7483" w:rsidP="002A7483">
      <w:pPr>
        <w:pStyle w:val="Heading1"/>
      </w:pPr>
      <w:bookmarkStart w:id="39" w:name="_Toc28002382"/>
      <w:r>
        <w:lastRenderedPageBreak/>
        <w:t>Appendix 4</w:t>
      </w:r>
      <w:bookmarkEnd w:id="39"/>
      <w:r>
        <w:t xml:space="preserve"> </w:t>
      </w:r>
    </w:p>
    <w:p w14:paraId="1ECD64B9" w14:textId="77777777" w:rsidR="002A7483" w:rsidRDefault="002A7483" w:rsidP="002A7483">
      <w:pPr>
        <w:pStyle w:val="Heading2"/>
      </w:pPr>
      <w:bookmarkStart w:id="40" w:name="_Toc28002383"/>
      <w:r>
        <w:t>PORT or Port-a-</w:t>
      </w:r>
      <w:proofErr w:type="spellStart"/>
      <w:r>
        <w:t>cath</w:t>
      </w:r>
      <w:proofErr w:type="spellEnd"/>
      <w:r>
        <w:t xml:space="preserve"> specific information (Totally Implanted Central Venous Access Port)</w:t>
      </w:r>
      <w:bookmarkEnd w:id="40"/>
    </w:p>
    <w:p w14:paraId="489DBE23" w14:textId="77777777" w:rsidR="002A7483" w:rsidRDefault="002A7483" w:rsidP="001E4E67">
      <w:pPr>
        <w:pStyle w:val="BodyTextCondensed"/>
      </w:pPr>
      <w:r>
        <w:t>This line specific information is intended to provide guidance on the minimum standards to       ensure prevention of infection with specific devices and not is intended to address insertion     techniques or device use.</w:t>
      </w:r>
    </w:p>
    <w:p w14:paraId="66940FA4" w14:textId="78B11542" w:rsidR="002A7483" w:rsidRDefault="002A7483" w:rsidP="001E4E67">
      <w:pPr>
        <w:pStyle w:val="BodyTextCondensed"/>
      </w:pPr>
      <w:r>
        <w:t>Written information about the care of the port should be provided to the patient.</w:t>
      </w:r>
      <w:r w:rsidRPr="002A7483">
        <w:rPr>
          <w:vertAlign w:val="superscript"/>
        </w:rPr>
        <w:t>3</w:t>
      </w:r>
      <w:r>
        <w:t xml:space="preserve"> Where a patient is to be an outpatient for the use of this device, additional care information may be required. A patient’s understanding of this information should be checked prior to discharge.</w:t>
      </w:r>
    </w:p>
    <w:p w14:paraId="5928F8FE" w14:textId="1D30069A" w:rsidR="002A7483" w:rsidRDefault="002A7483" w:rsidP="001E4E67">
      <w:pPr>
        <w:pStyle w:val="BodyTextCondensed"/>
      </w:pPr>
      <w:r>
        <w:t>Ports are usually inserted into the subclavian, internal jugular or basilic veins by qualified clinicians. It is best to avoid insertion sites under the arm, in the breast or soft tissue of the abdomen</w:t>
      </w:r>
    </w:p>
    <w:p w14:paraId="13E51021" w14:textId="1F7E4545" w:rsidR="002A7483" w:rsidRDefault="002A7483" w:rsidP="001E4E67">
      <w:pPr>
        <w:pStyle w:val="BodyTextCondensed"/>
      </w:pPr>
      <w:r>
        <w:t>Pressure injectable port-a-</w:t>
      </w:r>
      <w:proofErr w:type="spellStart"/>
      <w:r>
        <w:t>cath</w:t>
      </w:r>
      <w:proofErr w:type="spellEnd"/>
      <w:r>
        <w:t xml:space="preserve"> can be identified by palpating raised nodule or a triangular shape of the port housing.</w:t>
      </w:r>
    </w:p>
    <w:p w14:paraId="55A86C06" w14:textId="508F4170" w:rsidR="002A7483" w:rsidRDefault="002A7483" w:rsidP="001E4E67">
      <w:pPr>
        <w:pStyle w:val="BodyTextCondensed"/>
      </w:pPr>
      <w:r>
        <w:t>Most definitive confirmation is via radiological scanning wherein letters “C” and “T” will be visible at the back of the port.</w:t>
      </w:r>
    </w:p>
    <w:p w14:paraId="3944F833" w14:textId="5D84AE6C" w:rsidR="002A7483" w:rsidRDefault="002A7483" w:rsidP="001E4E67">
      <w:pPr>
        <w:pStyle w:val="BodyTextCondensed"/>
      </w:pPr>
      <w:r>
        <w:t>Only use the correct fit size of non-coring (Huber) safety needle with bonded extension on top of the needleless connector to access the port.</w:t>
      </w:r>
    </w:p>
    <w:p w14:paraId="25F28416" w14:textId="77161343" w:rsidR="002A7483" w:rsidRDefault="002A7483" w:rsidP="001E4E67">
      <w:pPr>
        <w:pStyle w:val="BodyTextCondensed"/>
      </w:pPr>
      <w:r>
        <w:t>Do not tilt, rock, rotate or pull on needle when accessing port.</w:t>
      </w:r>
    </w:p>
    <w:p w14:paraId="63C20560" w14:textId="5BB50D61" w:rsidR="002A7483" w:rsidRDefault="002A7483" w:rsidP="001E4E67">
      <w:pPr>
        <w:pStyle w:val="BodyTextCondensed"/>
      </w:pPr>
      <w:r>
        <w:t>If needle is too short, the reservoir will not be entered, and it will not be possible to aspirate and administer medications. Consider a tissue thickness of 0.5 to 2 centimetres.</w:t>
      </w:r>
    </w:p>
    <w:p w14:paraId="2555155C" w14:textId="19D9379B" w:rsidR="002A7483" w:rsidRDefault="002A7483" w:rsidP="001E4E67">
      <w:pPr>
        <w:pStyle w:val="BodyTextCondensed"/>
      </w:pPr>
      <w:r>
        <w:t>If the needle is too long, it will protrude and potentially dislodge.</w:t>
      </w:r>
    </w:p>
    <w:p w14:paraId="4C2129F6" w14:textId="7ECF55B7" w:rsidR="002A7483" w:rsidRDefault="002A7483" w:rsidP="001E4E67">
      <w:pPr>
        <w:pStyle w:val="BodyTextCondensed"/>
      </w:pPr>
      <w:r>
        <w:t>Accessing using an ordinary needle at an incorrect angle will cause extravasation causing skin and soft tissue injury.</w:t>
      </w:r>
    </w:p>
    <w:p w14:paraId="2F539D68" w14:textId="03A30432" w:rsidR="002A7483" w:rsidRDefault="002A7483" w:rsidP="001E4E67">
      <w:pPr>
        <w:pStyle w:val="BodyTextCondensed"/>
      </w:pPr>
      <w:r>
        <w:t xml:space="preserve">The needle and dressing must be changed weekly or once accessed, the non-coring (Huber) safety needle should be removed and replaced in conjunction with the weekly dressing changes or as outlined in the local policy procedure. </w:t>
      </w:r>
    </w:p>
    <w:p w14:paraId="35CA6CDC" w14:textId="1EF5F5CF" w:rsidR="002A7483" w:rsidRDefault="002A7483" w:rsidP="001E4E67">
      <w:pPr>
        <w:pStyle w:val="BodyTextCondensed"/>
      </w:pPr>
      <w:r>
        <w:t>It is recommended to flush the device every 4 weeks when not frequently used.</w:t>
      </w:r>
    </w:p>
    <w:p w14:paraId="31BEF1BD" w14:textId="287C2654" w:rsidR="002A7483" w:rsidRDefault="002A7483" w:rsidP="001E4E67">
      <w:pPr>
        <w:pStyle w:val="BodyTextCondensed"/>
      </w:pPr>
      <w:r>
        <w:t>Ensure blood flashback prior to every bolus administration or when starting an infusion to confirm placement of needle.</w:t>
      </w:r>
    </w:p>
    <w:p w14:paraId="054CB3E2" w14:textId="05ADF8AA" w:rsidR="002A7483" w:rsidRDefault="002A7483" w:rsidP="001E4E67">
      <w:pPr>
        <w:pStyle w:val="BodyTextCondensed"/>
      </w:pPr>
      <w:r>
        <w:t>Assess for swelling around port needle location in the body, chest pain or shoulder whilst flushing or infusing, do not remove the needle but stop infusion immediately and notify medical team.</w:t>
      </w:r>
    </w:p>
    <w:p w14:paraId="6A9D9EDE" w14:textId="11DE8EA0" w:rsidR="002A7483" w:rsidRDefault="002A7483" w:rsidP="001E4E67">
      <w:pPr>
        <w:pStyle w:val="BodyTextCondensed"/>
      </w:pPr>
      <w:r>
        <w:t>Highlight the importance of hand hygiene in handling any device/line.</w:t>
      </w:r>
    </w:p>
    <w:p w14:paraId="3BE4AC93" w14:textId="32A9B1C1" w:rsidR="002A7483" w:rsidRDefault="002A7483" w:rsidP="001E4E67">
      <w:pPr>
        <w:pStyle w:val="BodyTextCondensed"/>
      </w:pPr>
      <w:r>
        <w:t>Confirm medical order for removal.</w:t>
      </w:r>
    </w:p>
    <w:p w14:paraId="4EBD5BE4" w14:textId="4A512EA4" w:rsidR="002A7483" w:rsidRDefault="002A7483" w:rsidP="001E4E67">
      <w:pPr>
        <w:pStyle w:val="BodyTextCondensed"/>
      </w:pPr>
      <w:r>
        <w:t>Removal only by qualified clinical as may require surgical intervention for cuff removal.</w:t>
      </w:r>
    </w:p>
    <w:p w14:paraId="517B2786" w14:textId="202396B8" w:rsidR="002A7483" w:rsidRDefault="002A7483" w:rsidP="001E4E67">
      <w:pPr>
        <w:pStyle w:val="BodyTextCondensed"/>
      </w:pPr>
      <w:r>
        <w:t>AT should be adhered to for removal.</w:t>
      </w:r>
    </w:p>
    <w:p w14:paraId="4A26ECC1" w14:textId="6070FC94" w:rsidR="002A7483" w:rsidRPr="00F4744C" w:rsidRDefault="002A7483" w:rsidP="001E4E67">
      <w:pPr>
        <w:pStyle w:val="BodyTextCondensed"/>
      </w:pPr>
      <w:r>
        <w:lastRenderedPageBreak/>
        <w:t>Assess line integrity following removal.</w:t>
      </w:r>
    </w:p>
    <w:p w14:paraId="5094974A" w14:textId="77777777" w:rsidR="002A7483" w:rsidRDefault="002A7483" w:rsidP="002A7483">
      <w:pPr>
        <w:pStyle w:val="Heading1"/>
      </w:pPr>
      <w:bookmarkStart w:id="41" w:name="_Toc28002384"/>
      <w:r>
        <w:t>Appendix 5</w:t>
      </w:r>
      <w:bookmarkEnd w:id="41"/>
      <w:r>
        <w:t xml:space="preserve"> </w:t>
      </w:r>
    </w:p>
    <w:p w14:paraId="6F7CC221" w14:textId="77777777" w:rsidR="002A7483" w:rsidRDefault="002A7483" w:rsidP="002A7483">
      <w:pPr>
        <w:pStyle w:val="Heading2"/>
      </w:pPr>
      <w:bookmarkStart w:id="42" w:name="_Toc28002385"/>
      <w:r>
        <w:t>Haemodialysis catheter specific information</w:t>
      </w:r>
      <w:bookmarkEnd w:id="42"/>
    </w:p>
    <w:p w14:paraId="20305A6F" w14:textId="77777777" w:rsidR="002A7483" w:rsidRDefault="002A7483" w:rsidP="002A7483">
      <w:pPr>
        <w:pStyle w:val="BodyText"/>
      </w:pPr>
      <w:r>
        <w:t>This line specific information is intended to provide guidance on the minimum standards to       ensure prevention of infection with specific devices and is not intended to address insertion     techniques or device use.</w:t>
      </w:r>
    </w:p>
    <w:p w14:paraId="7A0A2445" w14:textId="1A739B2E" w:rsidR="002A7483" w:rsidRDefault="002A7483" w:rsidP="002A7483">
      <w:pPr>
        <w:pStyle w:val="BodyText"/>
      </w:pPr>
      <w:r>
        <w:t>Devices that require confirmation of tip position prior to use should have this done prior to use. Literature supports use of ECG confirmation systems as an acceptable alternative to X-ray confirmation alone. Local procedure must support the use of such systems before their implementation. Staff must be educated and assessed as competent in the systems use prior to implementation.</w:t>
      </w:r>
      <w:r w:rsidRPr="002A7483">
        <w:rPr>
          <w:vertAlign w:val="superscript"/>
        </w:rPr>
        <w:t>6</w:t>
      </w:r>
    </w:p>
    <w:p w14:paraId="721E63FF" w14:textId="35E7131D" w:rsidR="002A7483" w:rsidRDefault="002A7483" w:rsidP="002A7483">
      <w:pPr>
        <w:pStyle w:val="BodyText"/>
      </w:pPr>
      <w:r>
        <w:t>Guidewire exchanges are not recommended where there is evidence of infection.</w:t>
      </w:r>
    </w:p>
    <w:p w14:paraId="12EF3470" w14:textId="18C2DA5C" w:rsidR="002A7483" w:rsidRDefault="002A7483" w:rsidP="002A7483">
      <w:pPr>
        <w:pStyle w:val="BodyText"/>
      </w:pPr>
      <w:r>
        <w:t>If a guidewire exchange is to be used, new sterile gloves, drapes and skin preparation solution are to be used after handling the old catheter.</w:t>
      </w:r>
      <w:r w:rsidRPr="002A7483">
        <w:rPr>
          <w:vertAlign w:val="superscript"/>
        </w:rPr>
        <w:t>3</w:t>
      </w:r>
    </w:p>
    <w:p w14:paraId="7DBB5778" w14:textId="289734F8" w:rsidR="002A7483" w:rsidRDefault="002A7483" w:rsidP="002A7483">
      <w:pPr>
        <w:pStyle w:val="BodyText"/>
      </w:pPr>
      <w:r>
        <w:t>Femoral sites should be avoided to reduce the possibility of infection.</w:t>
      </w:r>
      <w:r w:rsidRPr="002A7483">
        <w:rPr>
          <w:vertAlign w:val="superscript"/>
        </w:rPr>
        <w:t>3</w:t>
      </w:r>
    </w:p>
    <w:p w14:paraId="17178BEF" w14:textId="700EC28F" w:rsidR="002A7483" w:rsidRDefault="002A7483" w:rsidP="002A7483">
      <w:pPr>
        <w:pStyle w:val="BodyText"/>
      </w:pPr>
      <w:r>
        <w:t>The use of antiseptic ointments at the catheter exit site at the end of a dialysis session may be considered, if the ointment doesn’t interact with the catheter material.</w:t>
      </w:r>
    </w:p>
    <w:p w14:paraId="7D6014AE" w14:textId="32234D0E" w:rsidR="002A7483" w:rsidRDefault="002A7483" w:rsidP="002A7483">
      <w:pPr>
        <w:pStyle w:val="BodyText"/>
      </w:pPr>
      <w:r>
        <w:t>Large catheters such as tunnelled dialysis catheters may bleed more than usual, monitor for excessive or uncontrolled bleeding. Apply firm pressure, initiate medical review as per organisational policy/procedure for patient deterioration.</w:t>
      </w:r>
    </w:p>
    <w:p w14:paraId="6A0654A3" w14:textId="082EDF5F" w:rsidR="002A7483" w:rsidRDefault="002A7483" w:rsidP="002A7483">
      <w:pPr>
        <w:pStyle w:val="BodyText"/>
      </w:pPr>
      <w:r>
        <w:t>Avoid excessive dressing changes during active bleeding so clotting will not be disturbed. Consider secondary dressing reinforcement.</w:t>
      </w:r>
    </w:p>
    <w:p w14:paraId="0FE9F41E" w14:textId="59B3AEDD" w:rsidR="002A7483" w:rsidRDefault="002A7483" w:rsidP="002A7483">
      <w:pPr>
        <w:pStyle w:val="BodyText"/>
      </w:pPr>
      <w:r>
        <w:t>Refer to your hospital policy/procedure on catheter choice.</w:t>
      </w:r>
    </w:p>
    <w:p w14:paraId="1D46E2E4" w14:textId="37EE62DD" w:rsidR="002A7483" w:rsidRDefault="002A7483" w:rsidP="002A7483">
      <w:pPr>
        <w:pStyle w:val="BodyText"/>
      </w:pPr>
      <w:r>
        <w:t xml:space="preserve">Refer and adhere to local policy flush volume and frequency procedure. There is no evidence that specific flushing volumes or frequency </w:t>
      </w:r>
      <w:proofErr w:type="gramStart"/>
      <w:r>
        <w:t>has an effect on</w:t>
      </w:r>
      <w:proofErr w:type="gramEnd"/>
      <w:r>
        <w:t xml:space="preserve"> failure rates.</w:t>
      </w:r>
    </w:p>
    <w:p w14:paraId="437AFCF3" w14:textId="5BF4435C" w:rsidR="002A7483" w:rsidRDefault="002A7483" w:rsidP="002A7483">
      <w:pPr>
        <w:pStyle w:val="BodyText"/>
      </w:pPr>
      <w:r>
        <w:t>Written information about the care of the port should be provided to the patient.</w:t>
      </w:r>
      <w:r w:rsidRPr="002A7483">
        <w:rPr>
          <w:vertAlign w:val="superscript"/>
        </w:rPr>
        <w:t>3</w:t>
      </w:r>
      <w:r>
        <w:t xml:space="preserve"> Where a patient is to be an outpatient for the use of this device, additional care information may be required. A patient’s understanding of this information should be checked prior to discharge. Practical and theoretical training is recommended to be provided by clinicians that includes step-by-step instructions in text and images i.e. dressing changes, hygiene, flushing techniques and handling of catheter.</w:t>
      </w:r>
    </w:p>
    <w:p w14:paraId="6046D1FD" w14:textId="098E3503" w:rsidR="002A7483" w:rsidRDefault="002A7483" w:rsidP="002A7483">
      <w:pPr>
        <w:pStyle w:val="BodyText"/>
      </w:pPr>
      <w:r>
        <w:t>Highlight the importance of hand hygiene with patients in handling their own line and when to seek medical attention.</w:t>
      </w:r>
    </w:p>
    <w:p w14:paraId="17F2BD57" w14:textId="6C642B30" w:rsidR="002A7483" w:rsidRDefault="002A7483" w:rsidP="002A7483">
      <w:pPr>
        <w:pStyle w:val="BodyText"/>
      </w:pPr>
      <w:r>
        <w:t>Confirm medical order for removal.</w:t>
      </w:r>
    </w:p>
    <w:p w14:paraId="565671B2" w14:textId="1384FC92" w:rsidR="002A7483" w:rsidRDefault="002A7483" w:rsidP="002A7483">
      <w:pPr>
        <w:pStyle w:val="BodyText"/>
      </w:pPr>
      <w:r>
        <w:t>Removal only by qualified clinical as may require surgical intervention for cuff removal.</w:t>
      </w:r>
    </w:p>
    <w:p w14:paraId="4D549141" w14:textId="1F2F4D57" w:rsidR="002A7483" w:rsidRDefault="002A7483" w:rsidP="002A7483">
      <w:pPr>
        <w:pStyle w:val="BodyText"/>
      </w:pPr>
      <w:r>
        <w:t>The Valsalva technique should be utilised for removal and digital pressure to the vein puncture site applied until haemostasis is achieved then an occlusive dressing is applied to minimise risk of air embolism and bleeding.</w:t>
      </w:r>
    </w:p>
    <w:p w14:paraId="28C498D0" w14:textId="3A2D2E7D" w:rsidR="00D779CD" w:rsidRDefault="002A7483" w:rsidP="002A7483">
      <w:pPr>
        <w:pStyle w:val="BodyText"/>
      </w:pPr>
      <w:r>
        <w:lastRenderedPageBreak/>
        <w:t>Assess line integrity following removal.</w:t>
      </w:r>
    </w:p>
    <w:p w14:paraId="676CD9F5" w14:textId="77777777" w:rsidR="008A3AE9" w:rsidRDefault="008A3AE9" w:rsidP="008A3AE9">
      <w:pPr>
        <w:pStyle w:val="Heading1"/>
      </w:pPr>
      <w:bookmarkStart w:id="43" w:name="_Toc28002386"/>
      <w:r>
        <w:t>Appendix 6</w:t>
      </w:r>
      <w:bookmarkEnd w:id="43"/>
    </w:p>
    <w:p w14:paraId="55F271FB" w14:textId="77777777" w:rsidR="008A3AE9" w:rsidRDefault="008A3AE9" w:rsidP="008A3AE9">
      <w:pPr>
        <w:pStyle w:val="Heading2"/>
      </w:pPr>
      <w:bookmarkStart w:id="44" w:name="_Toc28002387"/>
      <w:r>
        <w:t>Peripheral intravenous catheter specific information</w:t>
      </w:r>
      <w:bookmarkEnd w:id="44"/>
    </w:p>
    <w:p w14:paraId="510B8C30" w14:textId="77777777" w:rsidR="008A3AE9" w:rsidRDefault="008A3AE9" w:rsidP="008A3AE9">
      <w:pPr>
        <w:pStyle w:val="BodyText"/>
      </w:pPr>
      <w:r>
        <w:t>This line specific information is intended to provide guidance on the minimum standards to       ensure prevention of infection with specific device and is not intended to address insertion     techniques or device use.</w:t>
      </w:r>
    </w:p>
    <w:p w14:paraId="430DFDC1" w14:textId="587C60FE" w:rsidR="008A3AE9" w:rsidRDefault="008A3AE9" w:rsidP="008A3AE9">
      <w:pPr>
        <w:pStyle w:val="BodyText"/>
      </w:pPr>
      <w:r>
        <w:t>PIVCs should be assessed at each access, at least every 8 hours at a minimum and hourly if continuous fluids are infusing of for high risk populations such as neonates, paediatrics, unconscious and elderly patients.</w:t>
      </w:r>
    </w:p>
    <w:p w14:paraId="0ACCB9AC" w14:textId="780FE97D" w:rsidR="008A3AE9" w:rsidRDefault="008A3AE9" w:rsidP="008A3AE9">
      <w:pPr>
        <w:pStyle w:val="BodyText"/>
      </w:pPr>
      <w:r>
        <w:t>Thorough assessment includes touch, look and compare with contralateral limb.</w:t>
      </w:r>
    </w:p>
    <w:p w14:paraId="6AFBA5D1" w14:textId="4A531E6E" w:rsidR="008A3AE9" w:rsidRDefault="008A3AE9" w:rsidP="008A3AE9">
      <w:pPr>
        <w:pStyle w:val="BodyText"/>
      </w:pPr>
      <w:r>
        <w:t xml:space="preserve">Refer and adhere to local policy flush volume and frequency procedure. There is no evidence that specific flushing volumes or frequency </w:t>
      </w:r>
      <w:proofErr w:type="gramStart"/>
      <w:r>
        <w:t>has an effect on</w:t>
      </w:r>
      <w:proofErr w:type="gramEnd"/>
      <w:r>
        <w:t xml:space="preserve"> failure rates.</w:t>
      </w:r>
      <w:r w:rsidRPr="008A3AE9">
        <w:rPr>
          <w:vertAlign w:val="superscript"/>
        </w:rPr>
        <w:t>33</w:t>
      </w:r>
    </w:p>
    <w:p w14:paraId="531534D1" w14:textId="41F61EAB" w:rsidR="008A3AE9" w:rsidRDefault="008A3AE9" w:rsidP="008A3AE9">
      <w:pPr>
        <w:pStyle w:val="BodyText"/>
      </w:pPr>
      <w:r>
        <w:t>While there is no evidence that a gauze dressing performs any worse that a transparent dressing at preventing infection it may not be as effective as preventing dislodgement.</w:t>
      </w:r>
      <w:r w:rsidRPr="008A3AE9">
        <w:rPr>
          <w:vertAlign w:val="superscript"/>
        </w:rPr>
        <w:t>27</w:t>
      </w:r>
      <w:r>
        <w:t xml:space="preserve"> Further, a gauze dressing prevents easy regular visual inspection of the insertion site. If a gauze dressing is used, the site should be palpated for hardness or tenderness and removed</w:t>
      </w:r>
      <w:r w:rsidR="002862F2">
        <w:t>,</w:t>
      </w:r>
      <w:r>
        <w:t xml:space="preserve"> and the site inspected if any of these are found.</w:t>
      </w:r>
      <w:r w:rsidRPr="008A3AE9">
        <w:rPr>
          <w:vertAlign w:val="superscript"/>
        </w:rPr>
        <w:t>3</w:t>
      </w:r>
      <w:r>
        <w:t xml:space="preserve"> Please see local procedures for the recommended dressing in your facility.</w:t>
      </w:r>
    </w:p>
    <w:p w14:paraId="6F98135C" w14:textId="2B9F92E9" w:rsidR="008A3AE9" w:rsidRDefault="008A3AE9" w:rsidP="008A3AE9">
      <w:pPr>
        <w:pStyle w:val="BodyText"/>
      </w:pPr>
      <w:r>
        <w:t>Local policies should dictate the length of time that a PIVC can remain in-situ;</w:t>
      </w:r>
    </w:p>
    <w:p w14:paraId="382B9DAB" w14:textId="4BCF1E06" w:rsidR="008A3AE9" w:rsidRDefault="008A3AE9" w:rsidP="008A3AE9">
      <w:pPr>
        <w:pStyle w:val="ListBullet"/>
      </w:pPr>
      <w:r>
        <w:t>Usually this would be either 72</w:t>
      </w:r>
      <w:r w:rsidR="002862F2">
        <w:t>–</w:t>
      </w:r>
      <w:r>
        <w:t>96 hours or clinically indicated PIVC changes.</w:t>
      </w:r>
    </w:p>
    <w:p w14:paraId="7C4C7CAA" w14:textId="75E5689A" w:rsidR="008A3AE9" w:rsidRDefault="008A3AE9" w:rsidP="008A3AE9">
      <w:pPr>
        <w:pStyle w:val="ListBullet"/>
      </w:pPr>
      <w:r>
        <w:t>The facility should undertake a risk assessment considering the skill mix and experience of the inserters and carers of the PIVCs and current catheter related BSI rate when deciding on their policy</w:t>
      </w:r>
      <w:r w:rsidR="002862F2">
        <w:t>.</w:t>
      </w:r>
      <w:r w:rsidRPr="002862F2">
        <w:rPr>
          <w:vertAlign w:val="superscript"/>
        </w:rPr>
        <w:t>34</w:t>
      </w:r>
    </w:p>
    <w:p w14:paraId="1D5773E8" w14:textId="66F1E8A5" w:rsidR="008A3AE9" w:rsidRDefault="008A3AE9" w:rsidP="008A3AE9">
      <w:pPr>
        <w:pStyle w:val="BodyText"/>
      </w:pPr>
      <w:r>
        <w:t>PIVCs should be replaced as soon as possible and within 24 hours if inserted in an emergent situation, where asepsis may not have been maintained or there is no documentation regarding the insertion of the device.</w:t>
      </w:r>
    </w:p>
    <w:p w14:paraId="3F063F5B" w14:textId="0EEE8547" w:rsidR="008A3AE9" w:rsidRDefault="008A3AE9" w:rsidP="008A3AE9">
      <w:pPr>
        <w:pStyle w:val="BodyText"/>
      </w:pPr>
      <w:r>
        <w:t>PIVCs should be immediately removed when there are any signs of phlebitis, infection or malfunction</w:t>
      </w:r>
      <w:r w:rsidR="002862F2">
        <w:t>.</w:t>
      </w:r>
      <w:r w:rsidRPr="002862F2">
        <w:rPr>
          <w:vertAlign w:val="superscript"/>
        </w:rPr>
        <w:t>3</w:t>
      </w:r>
    </w:p>
    <w:p w14:paraId="6DB9691D" w14:textId="53E695FD" w:rsidR="008A3AE9" w:rsidRDefault="008A3AE9" w:rsidP="008A3AE9">
      <w:pPr>
        <w:pStyle w:val="BodyText"/>
      </w:pPr>
      <w:r>
        <w:t>Consideration should be given to a central venous catheter if the duration of therapy is a week or greater or the therapy to be administered is a known vein irritant.</w:t>
      </w:r>
    </w:p>
    <w:p w14:paraId="7D025C51" w14:textId="5052C07C" w:rsidR="008A3AE9" w:rsidRDefault="008A3AE9" w:rsidP="008A3AE9">
      <w:pPr>
        <w:pStyle w:val="BodyText"/>
      </w:pPr>
      <w:r>
        <w:t>Highlight the importance of hand hygiene of patients in handling their own line.</w:t>
      </w:r>
    </w:p>
    <w:p w14:paraId="5E9C8716" w14:textId="0A83B6AC" w:rsidR="008A3AE9" w:rsidRDefault="008A3AE9" w:rsidP="008A3AE9">
      <w:pPr>
        <w:pStyle w:val="BodyText"/>
      </w:pPr>
      <w:r>
        <w:t>Enhanced patient education should be provided regarding monitoring for initial signs of infections developing such as pain, redness or swelling in the catheter and emphasise to report any signs of infection to nursing/ medical staff immediately.</w:t>
      </w:r>
    </w:p>
    <w:p w14:paraId="725D5057" w14:textId="4E1CC1A7" w:rsidR="008A3AE9" w:rsidRDefault="008A3AE9" w:rsidP="008A3AE9">
      <w:pPr>
        <w:pStyle w:val="BodyText"/>
      </w:pPr>
      <w:r>
        <w:t>Written information about the care of the PIVC should be provided to the patient to ensure they understand the care required whilst in the hospital.</w:t>
      </w:r>
    </w:p>
    <w:p w14:paraId="1B7850E0" w14:textId="77777777" w:rsidR="009A5980" w:rsidRDefault="009A5980" w:rsidP="009A5980">
      <w:pPr>
        <w:pStyle w:val="Heading1"/>
      </w:pPr>
      <w:bookmarkStart w:id="45" w:name="_Toc28002388"/>
      <w:r>
        <w:lastRenderedPageBreak/>
        <w:t>Appendix 7</w:t>
      </w:r>
      <w:bookmarkEnd w:id="45"/>
    </w:p>
    <w:p w14:paraId="71C34F61" w14:textId="77777777" w:rsidR="009A5980" w:rsidRDefault="009A5980" w:rsidP="009A5980">
      <w:pPr>
        <w:pStyle w:val="Heading2"/>
      </w:pPr>
      <w:bookmarkStart w:id="46" w:name="_Toc28002389"/>
      <w:r>
        <w:t>Staphylococcus aureus bloodstream investigation checklist</w:t>
      </w:r>
      <w:bookmarkEnd w:id="46"/>
    </w:p>
    <w:p w14:paraId="6CC92A4E" w14:textId="77777777" w:rsidR="009A5980" w:rsidRDefault="009A5980" w:rsidP="009A5980">
      <w:pPr>
        <w:pStyle w:val="BodyText"/>
      </w:pPr>
    </w:p>
    <w:p w14:paraId="7C68EC17" w14:textId="77777777" w:rsidR="009A5980" w:rsidRDefault="009A5980" w:rsidP="009A5980">
      <w:pPr>
        <w:pStyle w:val="Heading3"/>
      </w:pPr>
      <w:bookmarkStart w:id="47" w:name="_Toc27996023"/>
      <w:bookmarkStart w:id="48" w:name="_Toc28002390"/>
      <w:r>
        <w:t>Investigation Process:</w:t>
      </w:r>
      <w:bookmarkEnd w:id="47"/>
      <w:bookmarkEnd w:id="48"/>
    </w:p>
    <w:p w14:paraId="60363500" w14:textId="77777777" w:rsidR="009A5980" w:rsidRDefault="009A5980" w:rsidP="009A5980">
      <w:pPr>
        <w:pStyle w:val="BodyText"/>
      </w:pPr>
      <w:r>
        <w:t xml:space="preserve">An investigation should be undertaken of all episodes of Healthcare Associated Intravascular Device (IVD)-Related Staphylococcus aureus Bloodstream Infection (BSI) </w:t>
      </w:r>
    </w:p>
    <w:p w14:paraId="1A9C2A94" w14:textId="77777777" w:rsidR="009A5980" w:rsidRDefault="009A5980" w:rsidP="009A5980">
      <w:pPr>
        <w:pStyle w:val="BodyText"/>
      </w:pPr>
      <w:r>
        <w:t>This involves:</w:t>
      </w:r>
    </w:p>
    <w:p w14:paraId="741A209E" w14:textId="7537D0D6" w:rsidR="009A5980" w:rsidRPr="007B31C7" w:rsidRDefault="007B31C7" w:rsidP="007B31C7">
      <w:pPr>
        <w:pStyle w:val="NumberedHeading4"/>
        <w:numPr>
          <w:ilvl w:val="0"/>
          <w:numId w:val="0"/>
        </w:numPr>
        <w:rPr>
          <w:rStyle w:val="BodyTextChar"/>
          <w:color w:val="3A3E3E" w:themeColor="background2" w:themeShade="40"/>
          <w:sz w:val="21"/>
        </w:rPr>
      </w:pPr>
      <w:r w:rsidRPr="007B31C7">
        <w:rPr>
          <w:color w:val="3A3E3E" w:themeColor="background2" w:themeShade="40"/>
          <w:sz w:val="21"/>
        </w:rPr>
        <w:t>1</w:t>
      </w:r>
      <w:r w:rsidRPr="007B31C7">
        <w:rPr>
          <w:color w:val="3A3E3E" w:themeColor="background2" w:themeShade="40"/>
        </w:rPr>
        <w:t xml:space="preserve">.  </w:t>
      </w:r>
      <w:r>
        <w:rPr>
          <w:color w:val="3A3E3E" w:themeColor="background2" w:themeShade="40"/>
        </w:rPr>
        <w:t xml:space="preserve"> </w:t>
      </w:r>
      <w:r w:rsidR="009A5980" w:rsidRPr="007B31C7">
        <w:rPr>
          <w:rStyle w:val="BodyTextChar"/>
          <w:color w:val="3A3E3E" w:themeColor="background2" w:themeShade="40"/>
          <w:sz w:val="21"/>
        </w:rPr>
        <w:t>Establish the S. aureus BSI meets the criteria for investigation.</w:t>
      </w:r>
    </w:p>
    <w:p w14:paraId="296237B9" w14:textId="4275FF45" w:rsidR="009A5980" w:rsidRPr="007B31C7" w:rsidRDefault="009A5980" w:rsidP="007B31C7">
      <w:pPr>
        <w:pStyle w:val="NumberedHeading3"/>
        <w:numPr>
          <w:ilvl w:val="0"/>
          <w:numId w:val="0"/>
        </w:numPr>
        <w:ind w:left="360" w:hanging="360"/>
        <w:rPr>
          <w:color w:val="3A3E3E" w:themeColor="background2" w:themeShade="40"/>
          <w:sz w:val="21"/>
          <w:szCs w:val="21"/>
        </w:rPr>
      </w:pPr>
      <w:bookmarkStart w:id="49" w:name="_Toc27996024"/>
      <w:bookmarkStart w:id="50" w:name="_Toc28002391"/>
      <w:r w:rsidRPr="007B31C7">
        <w:rPr>
          <w:color w:val="3A3E3E" w:themeColor="background2" w:themeShade="40"/>
          <w:sz w:val="21"/>
          <w:szCs w:val="21"/>
        </w:rPr>
        <w:t>2.</w:t>
      </w:r>
      <w:r w:rsidR="007B31C7">
        <w:t xml:space="preserve">   </w:t>
      </w:r>
      <w:r w:rsidRPr="007B31C7">
        <w:rPr>
          <w:color w:val="3A3E3E" w:themeColor="background2" w:themeShade="40"/>
          <w:sz w:val="21"/>
          <w:szCs w:val="21"/>
        </w:rPr>
        <w:t>Investigate the episode using an Investigation Checklist to identify factors that may have contributed to the BSI.</w:t>
      </w:r>
      <w:bookmarkEnd w:id="49"/>
      <w:bookmarkEnd w:id="50"/>
    </w:p>
    <w:p w14:paraId="38008475" w14:textId="12EB142A" w:rsidR="009A5980" w:rsidRPr="007B31C7" w:rsidRDefault="009A5980" w:rsidP="00154ADA">
      <w:pPr>
        <w:pStyle w:val="NumberedHeading3"/>
        <w:numPr>
          <w:ilvl w:val="0"/>
          <w:numId w:val="0"/>
        </w:numPr>
        <w:tabs>
          <w:tab w:val="clear" w:pos="900"/>
        </w:tabs>
        <w:rPr>
          <w:color w:val="3A3E3E" w:themeColor="background2" w:themeShade="40"/>
          <w:sz w:val="21"/>
          <w:szCs w:val="21"/>
        </w:rPr>
      </w:pPr>
      <w:bookmarkStart w:id="51" w:name="_Toc27996025"/>
      <w:bookmarkStart w:id="52" w:name="_Toc28002392"/>
      <w:r w:rsidRPr="007B31C7">
        <w:rPr>
          <w:color w:val="3A3E3E" w:themeColor="background2" w:themeShade="40"/>
          <w:sz w:val="21"/>
          <w:szCs w:val="21"/>
        </w:rPr>
        <w:t>3.</w:t>
      </w:r>
      <w:r w:rsidR="007B31C7">
        <w:t xml:space="preserve">   </w:t>
      </w:r>
      <w:r w:rsidRPr="007B31C7">
        <w:rPr>
          <w:color w:val="3A3E3E" w:themeColor="background2" w:themeShade="40"/>
          <w:sz w:val="21"/>
          <w:szCs w:val="21"/>
        </w:rPr>
        <w:t>Undertake an Event Analysis</w:t>
      </w:r>
      <w:r w:rsidR="00335EE3">
        <w:rPr>
          <w:color w:val="3A3E3E" w:themeColor="background2" w:themeShade="40"/>
          <w:sz w:val="21"/>
          <w:szCs w:val="21"/>
        </w:rPr>
        <w:t>.</w:t>
      </w:r>
      <w:bookmarkEnd w:id="51"/>
      <w:bookmarkEnd w:id="52"/>
    </w:p>
    <w:p w14:paraId="06E64497" w14:textId="56C520CE" w:rsidR="009A5980" w:rsidRPr="007B31C7" w:rsidRDefault="009A5980" w:rsidP="00154ADA">
      <w:pPr>
        <w:pStyle w:val="NumberedHeading3"/>
        <w:numPr>
          <w:ilvl w:val="0"/>
          <w:numId w:val="0"/>
        </w:numPr>
        <w:tabs>
          <w:tab w:val="clear" w:pos="900"/>
        </w:tabs>
        <w:ind w:left="450" w:hanging="450"/>
        <w:rPr>
          <w:color w:val="3A3E3E" w:themeColor="background2" w:themeShade="40"/>
          <w:sz w:val="21"/>
          <w:szCs w:val="21"/>
        </w:rPr>
      </w:pPr>
      <w:bookmarkStart w:id="53" w:name="_Toc27996026"/>
      <w:bookmarkStart w:id="54" w:name="_Toc28002393"/>
      <w:r w:rsidRPr="007B31C7">
        <w:rPr>
          <w:color w:val="3A3E3E" w:themeColor="background2" w:themeShade="40"/>
          <w:sz w:val="21"/>
          <w:szCs w:val="21"/>
        </w:rPr>
        <w:t>4.</w:t>
      </w:r>
      <w:r w:rsidR="00154ADA">
        <w:t xml:space="preserve">   </w:t>
      </w:r>
      <w:r w:rsidRPr="007B31C7">
        <w:rPr>
          <w:color w:val="3A3E3E" w:themeColor="background2" w:themeShade="40"/>
          <w:sz w:val="21"/>
          <w:szCs w:val="21"/>
        </w:rPr>
        <w:t>Develop an Action Plan and report outcomes in accordance with the local governance arrangement.</w:t>
      </w:r>
      <w:bookmarkEnd w:id="53"/>
      <w:bookmarkEnd w:id="54"/>
    </w:p>
    <w:p w14:paraId="4AE1FE4A" w14:textId="189ADFC5" w:rsidR="009A5980" w:rsidRDefault="009A5980" w:rsidP="009A5980">
      <w:pPr>
        <w:pStyle w:val="BodyText"/>
      </w:pPr>
      <w:r>
        <w:t>The relevant Department of Health Guidelines for Recommendations for the prevention of infection in IVD should be used as a reference point for the investigation.</w:t>
      </w:r>
    </w:p>
    <w:p w14:paraId="5AE547E1" w14:textId="2B23ED15" w:rsidR="009A5980" w:rsidRDefault="009A5980" w:rsidP="009A5980">
      <w:pPr>
        <w:pStyle w:val="BodyText"/>
      </w:pPr>
      <w:r>
        <w:t xml:space="preserve">Ensure that immediate actions and controls to manage risk are implemented. </w:t>
      </w:r>
    </w:p>
    <w:p w14:paraId="1C4B0D28" w14:textId="064478CC" w:rsidR="0005093D" w:rsidRDefault="0005093D" w:rsidP="009A5980">
      <w:pPr>
        <w:pStyle w:val="BodyText"/>
      </w:pPr>
    </w:p>
    <w:p w14:paraId="129C87F4" w14:textId="64ACD92C" w:rsidR="0005093D" w:rsidRDefault="008C4621" w:rsidP="009A5980">
      <w:pPr>
        <w:pStyle w:val="BodyText"/>
      </w:pPr>
      <w:r>
        <w:br w:type="page"/>
      </w:r>
    </w:p>
    <w:p w14:paraId="00714FB1" w14:textId="0A67BB70" w:rsidR="009301FA" w:rsidRDefault="009301FA" w:rsidP="00A07113">
      <w:pPr>
        <w:pStyle w:val="Heading3"/>
        <w:ind w:hanging="990"/>
      </w:pPr>
      <w:bookmarkStart w:id="55" w:name="_Toc27996027"/>
      <w:bookmarkStart w:id="56" w:name="_Toc28002394"/>
      <w:r w:rsidRPr="008C4621">
        <w:rPr>
          <w:i/>
        </w:rPr>
        <w:lastRenderedPageBreak/>
        <w:t>Staphylococcus</w:t>
      </w:r>
      <w:r>
        <w:t xml:space="preserve"> aureus bloodstream investigation checklist</w:t>
      </w:r>
      <w:bookmarkEnd w:id="55"/>
      <w:bookmarkEnd w:id="56"/>
    </w:p>
    <w:p w14:paraId="6FA0BC20" w14:textId="6D37602B" w:rsidR="0005093D" w:rsidRDefault="0005093D" w:rsidP="00D0426B">
      <w:pPr>
        <w:pStyle w:val="Heading4"/>
        <w:spacing w:before="60" w:after="60"/>
        <w:ind w:left="-994"/>
      </w:pPr>
      <w:r>
        <w:t>STEP 1</w:t>
      </w:r>
    </w:p>
    <w:tbl>
      <w:tblPr>
        <w:tblpPr w:leftFromText="180" w:rightFromText="180" w:vertAnchor="text" w:horzAnchor="margin" w:tblpX="-995" w:tblpY="17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2737"/>
      </w:tblGrid>
      <w:tr w:rsidR="0005093D" w14:paraId="35BD0B18" w14:textId="77777777" w:rsidTr="00D0426B">
        <w:trPr>
          <w:trHeight w:val="531"/>
        </w:trPr>
        <w:tc>
          <w:tcPr>
            <w:tcW w:w="8148" w:type="dxa"/>
            <w:shd w:val="clear" w:color="auto" w:fill="0B4479" w:themeFill="accent1" w:themeFillShade="BF"/>
          </w:tcPr>
          <w:p w14:paraId="7F36C1E1" w14:textId="422D8380" w:rsidR="0005093D" w:rsidRPr="00A07113" w:rsidRDefault="0005093D" w:rsidP="004505BC">
            <w:pPr>
              <w:pStyle w:val="BodyText"/>
              <w:rPr>
                <w:color w:val="FFFFFF" w:themeColor="background1"/>
              </w:rPr>
            </w:pPr>
            <w:r w:rsidRPr="00A07113">
              <w:rPr>
                <w:color w:val="FFFFFF" w:themeColor="background1"/>
              </w:rPr>
              <w:t>CRITERIA FOR INVESTIGATION OF A HEALTHCARE ASSOCIATED INTRAVASCULAR DEVICE-RELATED Staphylococcus aureus BLOODSTREAM INFECTION</w:t>
            </w:r>
          </w:p>
        </w:tc>
        <w:tc>
          <w:tcPr>
            <w:tcW w:w="2737" w:type="dxa"/>
            <w:shd w:val="clear" w:color="auto" w:fill="0B4479" w:themeFill="accent1" w:themeFillShade="BF"/>
          </w:tcPr>
          <w:p w14:paraId="72B8C727" w14:textId="3F9FC4F6" w:rsidR="0005093D" w:rsidRPr="00A07113" w:rsidRDefault="0005093D" w:rsidP="00A07113">
            <w:pPr>
              <w:pStyle w:val="BodyText"/>
              <w:jc w:val="center"/>
              <w:rPr>
                <w:color w:val="FFFFFF" w:themeColor="background1"/>
              </w:rPr>
            </w:pPr>
            <w:r w:rsidRPr="00A07113">
              <w:rPr>
                <w:color w:val="FFFFFF" w:themeColor="background1"/>
              </w:rPr>
              <w:t>INVESTIGATION REQUIRED?</w:t>
            </w:r>
          </w:p>
        </w:tc>
      </w:tr>
      <w:tr w:rsidR="0005093D" w14:paraId="037F0CA7" w14:textId="77777777" w:rsidTr="00D0426B">
        <w:trPr>
          <w:trHeight w:val="531"/>
        </w:trPr>
        <w:tc>
          <w:tcPr>
            <w:tcW w:w="8148" w:type="dxa"/>
          </w:tcPr>
          <w:p w14:paraId="305F6F29" w14:textId="2344E6A3" w:rsidR="0005093D" w:rsidRDefault="0005093D" w:rsidP="004505BC">
            <w:pPr>
              <w:pStyle w:val="BodyText"/>
            </w:pPr>
            <w:r w:rsidRPr="0005093D">
              <w:t>Causative organism Staphylococcus aureus (including methicillin resistant strains)?</w:t>
            </w:r>
          </w:p>
        </w:tc>
        <w:tc>
          <w:tcPr>
            <w:tcW w:w="2737" w:type="dxa"/>
          </w:tcPr>
          <w:p w14:paraId="583850C2" w14:textId="0DE8F7CA" w:rsidR="0005093D" w:rsidRDefault="0005093D" w:rsidP="00A07113">
            <w:pPr>
              <w:pStyle w:val="BodyText"/>
              <w:jc w:val="center"/>
            </w:pPr>
            <w:r w:rsidRPr="0005093D">
              <w:t>Yes</w:t>
            </w:r>
          </w:p>
        </w:tc>
      </w:tr>
      <w:tr w:rsidR="0005093D" w14:paraId="2E86BD63" w14:textId="77777777" w:rsidTr="00D0426B">
        <w:trPr>
          <w:trHeight w:val="531"/>
        </w:trPr>
        <w:tc>
          <w:tcPr>
            <w:tcW w:w="8148" w:type="dxa"/>
          </w:tcPr>
          <w:p w14:paraId="3C1524E8" w14:textId="41D4FC40" w:rsidR="0005093D" w:rsidRDefault="0005093D" w:rsidP="004505BC">
            <w:pPr>
              <w:pStyle w:val="BodyText"/>
            </w:pPr>
            <w:r w:rsidRPr="0005093D">
              <w:t>Meets criteria for diagnosis of a bloodstream infection (BSI)?</w:t>
            </w:r>
          </w:p>
        </w:tc>
        <w:tc>
          <w:tcPr>
            <w:tcW w:w="2737" w:type="dxa"/>
          </w:tcPr>
          <w:p w14:paraId="1235A1A4" w14:textId="4DE01C14" w:rsidR="0005093D" w:rsidRDefault="0005093D" w:rsidP="00A07113">
            <w:pPr>
              <w:pStyle w:val="BodyText"/>
              <w:jc w:val="center"/>
            </w:pPr>
            <w:r w:rsidRPr="0005093D">
              <w:t>Yes</w:t>
            </w:r>
          </w:p>
        </w:tc>
      </w:tr>
      <w:tr w:rsidR="0005093D" w14:paraId="21FC1DD5" w14:textId="77777777" w:rsidTr="00D0426B">
        <w:trPr>
          <w:trHeight w:val="531"/>
        </w:trPr>
        <w:tc>
          <w:tcPr>
            <w:tcW w:w="8148" w:type="dxa"/>
          </w:tcPr>
          <w:p w14:paraId="021C4A46" w14:textId="7B7E0AD0" w:rsidR="0005093D" w:rsidRDefault="0005093D" w:rsidP="004505BC">
            <w:pPr>
              <w:pStyle w:val="BodyText"/>
            </w:pPr>
            <w:r w:rsidRPr="0005093D">
              <w:t>Healthcare associated?</w:t>
            </w:r>
          </w:p>
        </w:tc>
        <w:tc>
          <w:tcPr>
            <w:tcW w:w="2737" w:type="dxa"/>
          </w:tcPr>
          <w:p w14:paraId="125A019A" w14:textId="0BBDC243" w:rsidR="0005093D" w:rsidRDefault="0005093D" w:rsidP="00A07113">
            <w:pPr>
              <w:pStyle w:val="BodyText"/>
              <w:jc w:val="center"/>
            </w:pPr>
            <w:r w:rsidRPr="0005093D">
              <w:t>Yes</w:t>
            </w:r>
          </w:p>
        </w:tc>
      </w:tr>
      <w:tr w:rsidR="0005093D" w14:paraId="2DC7BC4D" w14:textId="77777777" w:rsidTr="00D0426B">
        <w:trPr>
          <w:trHeight w:val="531"/>
        </w:trPr>
        <w:tc>
          <w:tcPr>
            <w:tcW w:w="8148" w:type="dxa"/>
          </w:tcPr>
          <w:p w14:paraId="6011374A" w14:textId="62881162" w:rsidR="0005093D" w:rsidRDefault="0005093D" w:rsidP="004505BC">
            <w:pPr>
              <w:pStyle w:val="BodyText"/>
            </w:pPr>
            <w:r w:rsidRPr="0005093D">
              <w:t>BSI acquired in this healthcare facility?</w:t>
            </w:r>
          </w:p>
        </w:tc>
        <w:tc>
          <w:tcPr>
            <w:tcW w:w="2737" w:type="dxa"/>
          </w:tcPr>
          <w:p w14:paraId="0F82F398" w14:textId="6F8FA70F" w:rsidR="0005093D" w:rsidRDefault="0005093D" w:rsidP="00A07113">
            <w:pPr>
              <w:pStyle w:val="BodyText"/>
              <w:jc w:val="center"/>
            </w:pPr>
            <w:r w:rsidRPr="0005093D">
              <w:t>Yes</w:t>
            </w:r>
          </w:p>
        </w:tc>
      </w:tr>
      <w:tr w:rsidR="0005093D" w14:paraId="5AA6857A" w14:textId="77777777" w:rsidTr="00D0426B">
        <w:trPr>
          <w:trHeight w:val="531"/>
        </w:trPr>
        <w:tc>
          <w:tcPr>
            <w:tcW w:w="8148" w:type="dxa"/>
          </w:tcPr>
          <w:p w14:paraId="628FA4A5" w14:textId="3686A828" w:rsidR="0005093D" w:rsidRDefault="0005093D" w:rsidP="004505BC">
            <w:pPr>
              <w:pStyle w:val="BodyText"/>
            </w:pPr>
            <w:r w:rsidRPr="0005093D">
              <w:t>Patient has or had an IV device in situ in the 48 hours prior to collection of the positive blood culture(s)?</w:t>
            </w:r>
          </w:p>
        </w:tc>
        <w:tc>
          <w:tcPr>
            <w:tcW w:w="2737" w:type="dxa"/>
          </w:tcPr>
          <w:p w14:paraId="3BAC4381" w14:textId="7548273F" w:rsidR="0005093D" w:rsidRDefault="0005093D" w:rsidP="00A07113">
            <w:pPr>
              <w:pStyle w:val="BodyText"/>
              <w:jc w:val="center"/>
            </w:pPr>
            <w:r w:rsidRPr="0005093D">
              <w:t>Yes</w:t>
            </w:r>
          </w:p>
        </w:tc>
      </w:tr>
      <w:tr w:rsidR="0005093D" w14:paraId="4D598782" w14:textId="77777777" w:rsidTr="00D0426B">
        <w:trPr>
          <w:trHeight w:val="531"/>
        </w:trPr>
        <w:tc>
          <w:tcPr>
            <w:tcW w:w="10885" w:type="dxa"/>
            <w:gridSpan w:val="2"/>
          </w:tcPr>
          <w:p w14:paraId="6DC22D87" w14:textId="5C9F5F5E" w:rsidR="0005093D" w:rsidRPr="0005093D" w:rsidRDefault="0005093D" w:rsidP="004505BC">
            <w:pPr>
              <w:pStyle w:val="BodyText"/>
              <w:rPr>
                <w:rFonts w:ascii="Fira Sans SemiBold" w:hAnsi="Fira Sans SemiBold"/>
              </w:rPr>
            </w:pPr>
            <w:r w:rsidRPr="0005093D">
              <w:rPr>
                <w:rFonts w:ascii="Fira Sans SemiBold" w:hAnsi="Fira Sans SemiBold"/>
              </w:rPr>
              <w:t>If yes recorded for all the above criteria, proceed to Step 2</w:t>
            </w:r>
          </w:p>
        </w:tc>
      </w:tr>
    </w:tbl>
    <w:p w14:paraId="48A9C0C3" w14:textId="0FFD30FE" w:rsidR="00135D4A" w:rsidRDefault="00135D4A" w:rsidP="008C4621">
      <w:pPr>
        <w:pStyle w:val="Heading4"/>
        <w:spacing w:before="120"/>
        <w:ind w:left="-810" w:hanging="180"/>
      </w:pPr>
      <w:r>
        <w:t>STEP 2</w:t>
      </w:r>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2211"/>
        <w:gridCol w:w="1115"/>
        <w:gridCol w:w="4573"/>
      </w:tblGrid>
      <w:tr w:rsidR="00135D4A" w14:paraId="31CC2A0F" w14:textId="77777777" w:rsidTr="007C13B3">
        <w:trPr>
          <w:trHeight w:val="385"/>
        </w:trPr>
        <w:tc>
          <w:tcPr>
            <w:tcW w:w="10890" w:type="dxa"/>
            <w:gridSpan w:val="4"/>
            <w:shd w:val="clear" w:color="auto" w:fill="0B4479" w:themeFill="accent1" w:themeFillShade="BF"/>
          </w:tcPr>
          <w:p w14:paraId="76799814" w14:textId="15AE5C88" w:rsidR="00135D4A" w:rsidRDefault="00135D4A" w:rsidP="00135D4A">
            <w:pPr>
              <w:pStyle w:val="BodyText"/>
              <w:jc w:val="center"/>
            </w:pPr>
            <w:r w:rsidRPr="00A07113">
              <w:rPr>
                <w:color w:val="FFFFFF" w:themeColor="background1"/>
              </w:rPr>
              <w:t>INTRAVASCULAR DEVICE RELATED BLOOD STREAM INFECTION</w:t>
            </w:r>
          </w:p>
        </w:tc>
      </w:tr>
      <w:tr w:rsidR="00135D4A" w14:paraId="640BFCA6" w14:textId="77777777" w:rsidTr="007C13B3">
        <w:trPr>
          <w:trHeight w:val="394"/>
        </w:trPr>
        <w:tc>
          <w:tcPr>
            <w:tcW w:w="10890" w:type="dxa"/>
            <w:gridSpan w:val="4"/>
            <w:shd w:val="clear" w:color="auto" w:fill="81B2DE" w:themeFill="text2" w:themeFillTint="66"/>
          </w:tcPr>
          <w:p w14:paraId="536BA7AA" w14:textId="1FDBEA9E" w:rsidR="00135D4A" w:rsidRPr="00A07113" w:rsidRDefault="00135D4A" w:rsidP="00135D4A">
            <w:pPr>
              <w:pStyle w:val="BodyText"/>
              <w:rPr>
                <w:rFonts w:ascii="Fira Sans SemiBold" w:hAnsi="Fira Sans SemiBold"/>
              </w:rPr>
            </w:pPr>
            <w:r w:rsidRPr="00A07113">
              <w:rPr>
                <w:rFonts w:ascii="Fira Sans SemiBold" w:hAnsi="Fira Sans SemiBold"/>
              </w:rPr>
              <w:t>PATIENT DETAILS</w:t>
            </w:r>
          </w:p>
        </w:tc>
      </w:tr>
      <w:tr w:rsidR="00135D4A" w14:paraId="3FC0E097" w14:textId="6C27D481" w:rsidTr="007C13B3">
        <w:trPr>
          <w:trHeight w:val="2635"/>
        </w:trPr>
        <w:tc>
          <w:tcPr>
            <w:tcW w:w="5202" w:type="dxa"/>
            <w:gridSpan w:val="2"/>
          </w:tcPr>
          <w:p w14:paraId="0A0B636D" w14:textId="77777777" w:rsidR="00135D4A" w:rsidRDefault="00135D4A" w:rsidP="00E363A8">
            <w:pPr>
              <w:pStyle w:val="BodyText"/>
              <w:spacing w:line="240" w:lineRule="auto"/>
            </w:pPr>
            <w:r w:rsidRPr="00D27969">
              <w:rPr>
                <w:u w:val="single"/>
              </w:rPr>
              <w:t xml:space="preserve">Patient Identification </w:t>
            </w:r>
            <w:r>
              <w:t>(or affix label)</w:t>
            </w:r>
          </w:p>
          <w:p w14:paraId="71F203E4" w14:textId="77777777" w:rsidR="00135D4A" w:rsidRDefault="00135D4A" w:rsidP="00E363A8">
            <w:pPr>
              <w:pStyle w:val="BodyText"/>
              <w:spacing w:line="240" w:lineRule="auto"/>
            </w:pPr>
            <w:r>
              <w:t>MRN:</w:t>
            </w:r>
          </w:p>
          <w:p w14:paraId="6C8C43FA" w14:textId="77777777" w:rsidR="00135D4A" w:rsidRDefault="00135D4A" w:rsidP="00E363A8">
            <w:pPr>
              <w:pStyle w:val="BodyText"/>
              <w:spacing w:line="240" w:lineRule="auto"/>
            </w:pPr>
            <w:r>
              <w:t>Hosp Name:</w:t>
            </w:r>
          </w:p>
          <w:p w14:paraId="5C18BB4A" w14:textId="77777777" w:rsidR="00135D4A" w:rsidRDefault="00135D4A" w:rsidP="00E363A8">
            <w:pPr>
              <w:pStyle w:val="BodyText"/>
              <w:spacing w:line="240" w:lineRule="auto"/>
            </w:pPr>
            <w:r>
              <w:t>Surname:</w:t>
            </w:r>
          </w:p>
          <w:p w14:paraId="3BD5EE42" w14:textId="77777777" w:rsidR="00135D4A" w:rsidRDefault="00135D4A" w:rsidP="00E363A8">
            <w:pPr>
              <w:pStyle w:val="BodyText"/>
              <w:spacing w:line="240" w:lineRule="auto"/>
            </w:pPr>
            <w:r>
              <w:t>Given Name:</w:t>
            </w:r>
          </w:p>
          <w:p w14:paraId="192234CB" w14:textId="77777777" w:rsidR="00135D4A" w:rsidRDefault="00135D4A" w:rsidP="00E363A8">
            <w:pPr>
              <w:pStyle w:val="BodyText"/>
              <w:spacing w:line="240" w:lineRule="auto"/>
            </w:pPr>
            <w:r>
              <w:t>Address:</w:t>
            </w:r>
          </w:p>
          <w:p w14:paraId="505008EA" w14:textId="77777777" w:rsidR="00135D4A" w:rsidRDefault="00135D4A" w:rsidP="00E363A8">
            <w:pPr>
              <w:pStyle w:val="BodyText"/>
              <w:spacing w:line="240" w:lineRule="auto"/>
            </w:pPr>
            <w:r>
              <w:t>Suburb:</w:t>
            </w:r>
          </w:p>
          <w:p w14:paraId="2972E98D" w14:textId="77777777" w:rsidR="00135D4A" w:rsidRDefault="00135D4A" w:rsidP="00E363A8">
            <w:pPr>
              <w:pStyle w:val="BodyText"/>
              <w:spacing w:line="240" w:lineRule="auto"/>
            </w:pPr>
            <w:r>
              <w:t>Post Code:</w:t>
            </w:r>
          </w:p>
          <w:p w14:paraId="38769952" w14:textId="77777777" w:rsidR="00135D4A" w:rsidRDefault="00135D4A" w:rsidP="00E363A8">
            <w:pPr>
              <w:pStyle w:val="BodyText"/>
              <w:spacing w:line="240" w:lineRule="auto"/>
            </w:pPr>
            <w:r>
              <w:t>Phone:</w:t>
            </w:r>
          </w:p>
          <w:p w14:paraId="7DEE730E" w14:textId="75D51E77" w:rsidR="00135D4A" w:rsidRDefault="00135D4A" w:rsidP="00E363A8">
            <w:pPr>
              <w:pStyle w:val="BodyText"/>
              <w:spacing w:line="240" w:lineRule="auto"/>
            </w:pPr>
            <w:r>
              <w:t>DOB: ___/___/___</w:t>
            </w:r>
            <w:r w:rsidR="00705E8F">
              <w:t xml:space="preserve">   </w:t>
            </w:r>
            <w:r>
              <w:t>Sex:</w:t>
            </w:r>
            <w:r w:rsidR="00D27969">
              <w:t xml:space="preserve">   </w:t>
            </w:r>
            <w:sdt>
              <w:sdtPr>
                <w:id w:val="311693885"/>
                <w14:checkbox>
                  <w14:checked w14:val="0"/>
                  <w14:checkedState w14:val="2612" w14:font="MS Gothic"/>
                  <w14:uncheckedState w14:val="2610" w14:font="MS Gothic"/>
                </w14:checkbox>
              </w:sdtPr>
              <w:sdtEndPr/>
              <w:sdtContent>
                <w:r w:rsidR="00D27969">
                  <w:rPr>
                    <w:rFonts w:ascii="MS Gothic" w:eastAsia="MS Gothic" w:hAnsi="MS Gothic" w:hint="eastAsia"/>
                  </w:rPr>
                  <w:t>☐</w:t>
                </w:r>
              </w:sdtContent>
            </w:sdt>
            <w:r>
              <w:t xml:space="preserve">  M  </w:t>
            </w:r>
            <w:sdt>
              <w:sdtPr>
                <w:id w:val="-67268670"/>
                <w14:checkbox>
                  <w14:checked w14:val="0"/>
                  <w14:checkedState w14:val="2612" w14:font="MS Gothic"/>
                  <w14:uncheckedState w14:val="2610" w14:font="MS Gothic"/>
                </w14:checkbox>
              </w:sdtPr>
              <w:sdtEndPr/>
              <w:sdtContent>
                <w:r w:rsidR="00D27969">
                  <w:rPr>
                    <w:rFonts w:ascii="MS Gothic" w:eastAsia="MS Gothic" w:hAnsi="MS Gothic" w:hint="eastAsia"/>
                  </w:rPr>
                  <w:t>☐</w:t>
                </w:r>
              </w:sdtContent>
            </w:sdt>
            <w:r>
              <w:t xml:space="preserve">   F</w:t>
            </w:r>
          </w:p>
        </w:tc>
        <w:tc>
          <w:tcPr>
            <w:tcW w:w="5688" w:type="dxa"/>
            <w:gridSpan w:val="2"/>
          </w:tcPr>
          <w:p w14:paraId="7E2035EA" w14:textId="77777777" w:rsidR="00705E8F" w:rsidRDefault="00705E8F" w:rsidP="00705E8F">
            <w:pPr>
              <w:pStyle w:val="BodyText"/>
            </w:pPr>
            <w:r>
              <w:t>Date of completion of audit: ___/___/___</w:t>
            </w:r>
          </w:p>
          <w:p w14:paraId="34C14C4B" w14:textId="77777777" w:rsidR="00705E8F" w:rsidRDefault="00705E8F" w:rsidP="00705E8F">
            <w:pPr>
              <w:pStyle w:val="BodyText"/>
            </w:pPr>
          </w:p>
          <w:p w14:paraId="2EBF43B9" w14:textId="77777777" w:rsidR="00705E8F" w:rsidRDefault="00705E8F" w:rsidP="00705E8F">
            <w:pPr>
              <w:pStyle w:val="BodyText"/>
            </w:pPr>
            <w:r>
              <w:t xml:space="preserve">Name of person completing audit: </w:t>
            </w:r>
          </w:p>
          <w:p w14:paraId="76989D81" w14:textId="7A95E7A5" w:rsidR="00705E8F" w:rsidRDefault="00705E8F" w:rsidP="00705E8F">
            <w:pPr>
              <w:pStyle w:val="BodyText"/>
            </w:pPr>
            <w:r>
              <w:t>___________________________________</w:t>
            </w:r>
          </w:p>
          <w:p w14:paraId="605F705F" w14:textId="77777777" w:rsidR="00705E8F" w:rsidRDefault="00705E8F" w:rsidP="00705E8F">
            <w:pPr>
              <w:pStyle w:val="BodyText"/>
            </w:pPr>
          </w:p>
          <w:p w14:paraId="57DF49E9" w14:textId="2C2346CA" w:rsidR="00705E8F" w:rsidRDefault="00705E8F" w:rsidP="00705E8F">
            <w:pPr>
              <w:pStyle w:val="BodyText"/>
            </w:pPr>
            <w:r>
              <w:t>Approximate time taken to complete all steps of the investigation: _______</w:t>
            </w:r>
          </w:p>
          <w:p w14:paraId="4F105300" w14:textId="77777777" w:rsidR="00135D4A" w:rsidRDefault="00135D4A" w:rsidP="00135D4A">
            <w:pPr>
              <w:pStyle w:val="BodyText"/>
            </w:pPr>
          </w:p>
        </w:tc>
      </w:tr>
      <w:tr w:rsidR="00135D4A" w14:paraId="6D32C378" w14:textId="283BC268" w:rsidTr="007C13B3">
        <w:trPr>
          <w:trHeight w:val="628"/>
        </w:trPr>
        <w:tc>
          <w:tcPr>
            <w:tcW w:w="2991" w:type="dxa"/>
          </w:tcPr>
          <w:p w14:paraId="6204CCD4" w14:textId="294139E3" w:rsidR="00135D4A" w:rsidRDefault="00705E8F" w:rsidP="00135D4A">
            <w:pPr>
              <w:pStyle w:val="BodyText"/>
            </w:pPr>
            <w:r w:rsidRPr="00705E8F">
              <w:t>Date Admitted: ___/___/___</w:t>
            </w:r>
          </w:p>
        </w:tc>
        <w:tc>
          <w:tcPr>
            <w:tcW w:w="3326" w:type="dxa"/>
            <w:gridSpan w:val="2"/>
          </w:tcPr>
          <w:p w14:paraId="109234C8" w14:textId="77777777" w:rsidR="00135D4A" w:rsidRDefault="00705E8F" w:rsidP="00135D4A">
            <w:pPr>
              <w:pStyle w:val="BodyText"/>
            </w:pPr>
            <w:r w:rsidRPr="00705E8F">
              <w:t>Attributable Ward: __________</w:t>
            </w:r>
          </w:p>
          <w:p w14:paraId="1E473562" w14:textId="7F15F7FC" w:rsidR="00705E8F" w:rsidRDefault="00705E8F" w:rsidP="00135D4A">
            <w:pPr>
              <w:pStyle w:val="BodyText"/>
            </w:pPr>
            <w:r w:rsidRPr="00705E8F">
              <w:t>Attributable Unit: ___________</w:t>
            </w:r>
          </w:p>
        </w:tc>
        <w:tc>
          <w:tcPr>
            <w:tcW w:w="4573" w:type="dxa"/>
          </w:tcPr>
          <w:p w14:paraId="179DCAAD" w14:textId="27386A36" w:rsidR="00135D4A" w:rsidRDefault="00705E8F" w:rsidP="00135D4A">
            <w:pPr>
              <w:pStyle w:val="BodyText"/>
            </w:pPr>
            <w:r w:rsidRPr="00705E8F">
              <w:t>Date of Separation or Death: ___/___/___</w:t>
            </w:r>
          </w:p>
        </w:tc>
      </w:tr>
      <w:tr w:rsidR="00135D4A" w14:paraId="0DCFD990" w14:textId="2B6012F2" w:rsidTr="007C13B3">
        <w:trPr>
          <w:trHeight w:val="1249"/>
        </w:trPr>
        <w:tc>
          <w:tcPr>
            <w:tcW w:w="10890" w:type="dxa"/>
            <w:gridSpan w:val="4"/>
          </w:tcPr>
          <w:p w14:paraId="422A05C2" w14:textId="266DEF42" w:rsidR="00705E8F" w:rsidRDefault="00705E8F" w:rsidP="00B42E57">
            <w:pPr>
              <w:pStyle w:val="BodyText"/>
              <w:spacing w:before="240"/>
            </w:pPr>
            <w:r>
              <w:t>Transfers/movements after admission:</w:t>
            </w:r>
          </w:p>
          <w:p w14:paraId="1FC390C1" w14:textId="555E8700" w:rsidR="00135D4A" w:rsidRPr="00B42E57" w:rsidRDefault="00135D4A" w:rsidP="00705E8F">
            <w:pPr>
              <w:pStyle w:val="BodyText"/>
            </w:pPr>
          </w:p>
        </w:tc>
      </w:tr>
    </w:tbl>
    <w:p w14:paraId="68E93E6C" w14:textId="77777777" w:rsidR="009956BB" w:rsidRDefault="009956BB">
      <w:r>
        <w:br w:type="page"/>
      </w:r>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8F2319" w14:paraId="4E2B6086" w14:textId="77777777" w:rsidTr="009956BB">
        <w:trPr>
          <w:trHeight w:val="539"/>
        </w:trPr>
        <w:tc>
          <w:tcPr>
            <w:tcW w:w="10890" w:type="dxa"/>
            <w:shd w:val="clear" w:color="auto" w:fill="81B2DE" w:themeFill="text2" w:themeFillTint="66"/>
          </w:tcPr>
          <w:p w14:paraId="5ACB8E9F" w14:textId="54C01B6E" w:rsidR="008F2319" w:rsidRPr="009956BB" w:rsidRDefault="008F2319" w:rsidP="00CF51D9">
            <w:pPr>
              <w:pStyle w:val="BodyText"/>
              <w:rPr>
                <w:rFonts w:ascii="Fira Sans SemiBold" w:hAnsi="Fira Sans SemiBold"/>
              </w:rPr>
            </w:pPr>
            <w:r w:rsidRPr="009956BB">
              <w:rPr>
                <w:rFonts w:ascii="Fira Sans SemiBold" w:hAnsi="Fira Sans SemiBold"/>
              </w:rPr>
              <w:lastRenderedPageBreak/>
              <w:t>SPECIMEN (BLOOD CULTURE) DETAILS</w:t>
            </w:r>
          </w:p>
        </w:tc>
      </w:tr>
      <w:tr w:rsidR="00135D4A" w14:paraId="6FC407B4" w14:textId="77777777" w:rsidTr="007C13B3">
        <w:trPr>
          <w:trHeight w:val="1519"/>
        </w:trPr>
        <w:tc>
          <w:tcPr>
            <w:tcW w:w="10890" w:type="dxa"/>
          </w:tcPr>
          <w:p w14:paraId="53161A85" w14:textId="77777777" w:rsidR="00CF51D9" w:rsidRDefault="00CF51D9" w:rsidP="00CF51D9">
            <w:pPr>
              <w:pStyle w:val="BodyText"/>
            </w:pPr>
            <w:r>
              <w:t xml:space="preserve">Date of Collection: ___/___/_____                 Specimen Lab No: ______________________ </w:t>
            </w:r>
          </w:p>
          <w:p w14:paraId="042DE558" w14:textId="746431F6" w:rsidR="00135D4A" w:rsidRDefault="00CF51D9" w:rsidP="00CF51D9">
            <w:pPr>
              <w:pStyle w:val="BodyText"/>
            </w:pPr>
            <w:r>
              <w:t xml:space="preserve">(NB: The isolation of </w:t>
            </w:r>
            <w:r w:rsidRPr="008C4621">
              <w:rPr>
                <w:i/>
              </w:rPr>
              <w:t>S. aureus</w:t>
            </w:r>
            <w:r>
              <w:t xml:space="preserve"> from a blood culture collected through a line does not necessarily indicate a catheter was infected if peripheral blood cultures were also collected and were positive)</w:t>
            </w:r>
          </w:p>
        </w:tc>
      </w:tr>
      <w:tr w:rsidR="00135D4A" w14:paraId="15A623D2" w14:textId="77777777" w:rsidTr="007C13B3">
        <w:trPr>
          <w:trHeight w:val="1519"/>
        </w:trPr>
        <w:tc>
          <w:tcPr>
            <w:tcW w:w="10890" w:type="dxa"/>
          </w:tcPr>
          <w:p w14:paraId="195F919D" w14:textId="77777777" w:rsidR="00CF51D9" w:rsidRDefault="00CF51D9" w:rsidP="00CF51D9">
            <w:pPr>
              <w:pStyle w:val="BodyText"/>
            </w:pPr>
            <w:r>
              <w:t xml:space="preserve">Was </w:t>
            </w:r>
            <w:r w:rsidRPr="00CF51D9">
              <w:rPr>
                <w:i/>
              </w:rPr>
              <w:t>S. aureus</w:t>
            </w:r>
            <w:r>
              <w:t xml:space="preserve"> also isolated from:</w:t>
            </w:r>
          </w:p>
          <w:p w14:paraId="0261FD52" w14:textId="446E93FD" w:rsidR="00CF51D9" w:rsidRDefault="00CF51D9" w:rsidP="00CF51D9">
            <w:pPr>
              <w:pStyle w:val="BodyText"/>
            </w:pPr>
            <w:r>
              <w:t xml:space="preserve"> </w:t>
            </w:r>
            <w:sdt>
              <w:sdtPr>
                <w:id w:val="-1805843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C5F50">
              <w:t xml:space="preserve">    </w:t>
            </w:r>
            <w:r>
              <w:t>Exit site swab</w:t>
            </w:r>
          </w:p>
          <w:p w14:paraId="043FD8A2" w14:textId="420386A3" w:rsidR="00CF51D9" w:rsidRDefault="00CF51D9" w:rsidP="00CF51D9">
            <w:pPr>
              <w:pStyle w:val="BodyText"/>
            </w:pPr>
            <w:r>
              <w:t xml:space="preserve"> </w:t>
            </w:r>
            <w:sdt>
              <w:sdtPr>
                <w:id w:val="460692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C5F50">
              <w:t xml:space="preserve">    </w:t>
            </w:r>
            <w:r>
              <w:t>Catheter distal tip</w:t>
            </w:r>
          </w:p>
          <w:p w14:paraId="4328F75B" w14:textId="5C791A0C" w:rsidR="00135D4A" w:rsidRDefault="00CF51D9" w:rsidP="000C5F50">
            <w:pPr>
              <w:pStyle w:val="BodyText"/>
              <w:ind w:left="514" w:hanging="514"/>
            </w:pPr>
            <w:r>
              <w:t xml:space="preserve"> </w:t>
            </w:r>
            <w:sdt>
              <w:sdtPr>
                <w:id w:val="-1923789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C5F50">
              <w:t xml:space="preserve">    </w:t>
            </w:r>
            <w:r>
              <w:t>Other focus of infection - if yes, does this truly fit the criteria of an IVD-related infection in the presence of another source? (refer Step 1)</w:t>
            </w:r>
          </w:p>
        </w:tc>
      </w:tr>
      <w:tr w:rsidR="00135D4A" w14:paraId="04C60CC1" w14:textId="77777777" w:rsidTr="007C13B3">
        <w:trPr>
          <w:trHeight w:val="1519"/>
        </w:trPr>
        <w:tc>
          <w:tcPr>
            <w:tcW w:w="10890" w:type="dxa"/>
          </w:tcPr>
          <w:p w14:paraId="3C39AC9F" w14:textId="5120BF31" w:rsidR="00CF51D9" w:rsidRDefault="00CF51D9" w:rsidP="00CF51D9">
            <w:pPr>
              <w:pStyle w:val="BodyText"/>
            </w:pPr>
            <w:r>
              <w:t xml:space="preserve">Is the patient known to be colonised with </w:t>
            </w:r>
            <w:r w:rsidRPr="00CF51D9">
              <w:rPr>
                <w:i/>
              </w:rPr>
              <w:t>S. aureus</w:t>
            </w:r>
            <w:r>
              <w:t xml:space="preserve">?       </w:t>
            </w:r>
            <w:sdt>
              <w:sdtPr>
                <w:id w:val="-651137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12302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BA03119" w14:textId="77777777" w:rsidR="00CF51D9" w:rsidRPr="00CF51D9" w:rsidRDefault="00CF51D9" w:rsidP="00CF51D9">
            <w:pPr>
              <w:pStyle w:val="BodyText"/>
              <w:rPr>
                <w:rFonts w:ascii="Fira Sans SemiBold" w:hAnsi="Fira Sans SemiBold"/>
              </w:rPr>
            </w:pPr>
            <w:r w:rsidRPr="00CF51D9">
              <w:rPr>
                <w:rFonts w:ascii="Fira Sans SemiBold" w:hAnsi="Fira Sans SemiBold"/>
              </w:rPr>
              <w:t>Note:</w:t>
            </w:r>
          </w:p>
          <w:p w14:paraId="1B883DB0" w14:textId="77777777" w:rsidR="00CF51D9" w:rsidRPr="00CF51D9" w:rsidRDefault="00CF51D9" w:rsidP="00CF51D9">
            <w:pPr>
              <w:pStyle w:val="BodyText"/>
              <w:rPr>
                <w:rFonts w:ascii="Fira Sans SemiBold" w:hAnsi="Fira Sans SemiBold"/>
              </w:rPr>
            </w:pPr>
            <w:r w:rsidRPr="00CF51D9">
              <w:rPr>
                <w:rFonts w:ascii="Fira Sans SemiBold" w:hAnsi="Fira Sans SemiBold"/>
              </w:rPr>
              <w:t>If specimen is collected within 48 hours of insertion, please complete Step 3 section A</w:t>
            </w:r>
          </w:p>
          <w:p w14:paraId="4D7E63C3" w14:textId="54B345DA" w:rsidR="00135D4A" w:rsidRDefault="00CF51D9" w:rsidP="00CF51D9">
            <w:pPr>
              <w:pStyle w:val="BodyText"/>
            </w:pPr>
            <w:r w:rsidRPr="00CF51D9">
              <w:rPr>
                <w:rFonts w:ascii="Fira Sans SemiBold" w:hAnsi="Fira Sans SemiBold"/>
              </w:rPr>
              <w:t>If specimen is collected &gt;48 hours after insertion, please complete Step 3 section B</w:t>
            </w:r>
          </w:p>
        </w:tc>
      </w:tr>
      <w:tr w:rsidR="00135D4A" w14:paraId="4F3E3450" w14:textId="77777777" w:rsidTr="007C13B3">
        <w:trPr>
          <w:trHeight w:val="304"/>
        </w:trPr>
        <w:tc>
          <w:tcPr>
            <w:tcW w:w="10890" w:type="dxa"/>
            <w:shd w:val="clear" w:color="auto" w:fill="0F5CA2" w:themeFill="accent1"/>
          </w:tcPr>
          <w:p w14:paraId="12909203" w14:textId="5345E44D" w:rsidR="00135D4A" w:rsidRDefault="00CF51D9" w:rsidP="00135D4A">
            <w:pPr>
              <w:pStyle w:val="BodyText"/>
            </w:pPr>
            <w:r w:rsidRPr="000C5F50">
              <w:rPr>
                <w:color w:val="FFFFFF" w:themeColor="background1"/>
              </w:rPr>
              <w:t>PATIENT OUTCOME</w:t>
            </w:r>
          </w:p>
        </w:tc>
      </w:tr>
      <w:tr w:rsidR="00CF51D9" w:rsidRPr="000C5F50" w14:paraId="7250133D" w14:textId="77777777" w:rsidTr="007C13B3">
        <w:trPr>
          <w:trHeight w:val="295"/>
        </w:trPr>
        <w:tc>
          <w:tcPr>
            <w:tcW w:w="10890" w:type="dxa"/>
            <w:shd w:val="clear" w:color="auto" w:fill="81B2DE" w:themeFill="text2" w:themeFillTint="66"/>
          </w:tcPr>
          <w:p w14:paraId="5964279A" w14:textId="511E6B1F" w:rsidR="00CF51D9" w:rsidRPr="000C5F50" w:rsidRDefault="00CF51D9" w:rsidP="00135D4A">
            <w:pPr>
              <w:pStyle w:val="BodyText"/>
              <w:rPr>
                <w:rFonts w:ascii="Fira Sans SemiBold" w:hAnsi="Fira Sans SemiBold"/>
              </w:rPr>
            </w:pPr>
            <w:r w:rsidRPr="000C5F50">
              <w:rPr>
                <w:rFonts w:ascii="Fira Sans SemiBold" w:hAnsi="Fira Sans SemiBold"/>
              </w:rPr>
              <w:t>Outcome at time investigation</w:t>
            </w:r>
          </w:p>
        </w:tc>
      </w:tr>
      <w:tr w:rsidR="00CF51D9" w14:paraId="428F1A1D" w14:textId="77777777" w:rsidTr="007C13B3">
        <w:trPr>
          <w:trHeight w:val="295"/>
        </w:trPr>
        <w:tc>
          <w:tcPr>
            <w:tcW w:w="10890" w:type="dxa"/>
          </w:tcPr>
          <w:p w14:paraId="0B547813" w14:textId="549900F7" w:rsidR="00CF51D9" w:rsidRDefault="005159B5" w:rsidP="00135D4A">
            <w:pPr>
              <w:pStyle w:val="BodyText"/>
            </w:pPr>
            <w:sdt>
              <w:sdtPr>
                <w:id w:val="707912353"/>
                <w14:checkbox>
                  <w14:checked w14:val="0"/>
                  <w14:checkedState w14:val="2612" w14:font="MS Gothic"/>
                  <w14:uncheckedState w14:val="2610" w14:font="MS Gothic"/>
                </w14:checkbox>
              </w:sdtPr>
              <w:sdtEndPr/>
              <w:sdtContent>
                <w:r w:rsidR="002D7105">
                  <w:rPr>
                    <w:rFonts w:ascii="MS Gothic" w:eastAsia="MS Gothic" w:hAnsi="MS Gothic" w:hint="eastAsia"/>
                  </w:rPr>
                  <w:t>☐</w:t>
                </w:r>
              </w:sdtContent>
            </w:sdt>
            <w:r w:rsidR="002D7105">
              <w:t xml:space="preserve">   </w:t>
            </w:r>
            <w:r w:rsidR="002D7105" w:rsidRPr="002D7105">
              <w:t>Death due to other cause</w:t>
            </w:r>
          </w:p>
        </w:tc>
      </w:tr>
      <w:tr w:rsidR="00BE2914" w14:paraId="541BEACE" w14:textId="77777777" w:rsidTr="007C13B3">
        <w:trPr>
          <w:trHeight w:val="295"/>
        </w:trPr>
        <w:tc>
          <w:tcPr>
            <w:tcW w:w="10890" w:type="dxa"/>
          </w:tcPr>
          <w:p w14:paraId="654646ED" w14:textId="778E1607" w:rsidR="00BE2914" w:rsidRDefault="005159B5" w:rsidP="00135D4A">
            <w:pPr>
              <w:pStyle w:val="BodyText"/>
            </w:pPr>
            <w:sdt>
              <w:sdtPr>
                <w:id w:val="-1037268264"/>
                <w14:checkbox>
                  <w14:checked w14:val="0"/>
                  <w14:checkedState w14:val="2612" w14:font="MS Gothic"/>
                  <w14:uncheckedState w14:val="2610" w14:font="MS Gothic"/>
                </w14:checkbox>
              </w:sdtPr>
              <w:sdtEndPr/>
              <w:sdtContent>
                <w:r w:rsidR="002D7105">
                  <w:rPr>
                    <w:rFonts w:ascii="MS Gothic" w:eastAsia="MS Gothic" w:hAnsi="MS Gothic" w:hint="eastAsia"/>
                  </w:rPr>
                  <w:t>☐</w:t>
                </w:r>
              </w:sdtContent>
            </w:sdt>
            <w:r w:rsidR="002D7105">
              <w:t xml:space="preserve">   </w:t>
            </w:r>
            <w:r w:rsidR="002D7105" w:rsidRPr="002D7105">
              <w:t>Full recovery or full recovery expected</w:t>
            </w:r>
          </w:p>
        </w:tc>
      </w:tr>
      <w:tr w:rsidR="00BE2914" w14:paraId="57ACCAD4" w14:textId="77777777" w:rsidTr="007C13B3">
        <w:trPr>
          <w:trHeight w:val="295"/>
        </w:trPr>
        <w:tc>
          <w:tcPr>
            <w:tcW w:w="10890" w:type="dxa"/>
          </w:tcPr>
          <w:p w14:paraId="369A4744" w14:textId="65C8D9D4" w:rsidR="00BE2914" w:rsidRDefault="005159B5" w:rsidP="00135D4A">
            <w:pPr>
              <w:pStyle w:val="BodyText"/>
            </w:pPr>
            <w:sdt>
              <w:sdtPr>
                <w:id w:val="1357779262"/>
                <w14:checkbox>
                  <w14:checked w14:val="0"/>
                  <w14:checkedState w14:val="2612" w14:font="MS Gothic"/>
                  <w14:uncheckedState w14:val="2610" w14:font="MS Gothic"/>
                </w14:checkbox>
              </w:sdtPr>
              <w:sdtEndPr/>
              <w:sdtContent>
                <w:r w:rsidR="002D7105">
                  <w:rPr>
                    <w:rFonts w:ascii="MS Gothic" w:eastAsia="MS Gothic" w:hAnsi="MS Gothic" w:hint="eastAsia"/>
                  </w:rPr>
                  <w:t>☐</w:t>
                </w:r>
              </w:sdtContent>
            </w:sdt>
            <w:r w:rsidR="002D7105">
              <w:t xml:space="preserve">   </w:t>
            </w:r>
            <w:r w:rsidR="002D7105" w:rsidRPr="002D7105">
              <w:t>Infection caused death</w:t>
            </w:r>
          </w:p>
        </w:tc>
      </w:tr>
      <w:tr w:rsidR="00BE2914" w14:paraId="41523252" w14:textId="77777777" w:rsidTr="007C13B3">
        <w:trPr>
          <w:trHeight w:val="295"/>
        </w:trPr>
        <w:tc>
          <w:tcPr>
            <w:tcW w:w="10890" w:type="dxa"/>
          </w:tcPr>
          <w:p w14:paraId="368FAFA6" w14:textId="75F06FE8" w:rsidR="00BE2914" w:rsidRDefault="005159B5" w:rsidP="00135D4A">
            <w:pPr>
              <w:pStyle w:val="BodyText"/>
            </w:pPr>
            <w:sdt>
              <w:sdtPr>
                <w:id w:val="1761643825"/>
                <w14:checkbox>
                  <w14:checked w14:val="0"/>
                  <w14:checkedState w14:val="2612" w14:font="MS Gothic"/>
                  <w14:uncheckedState w14:val="2610" w14:font="MS Gothic"/>
                </w14:checkbox>
              </w:sdtPr>
              <w:sdtEndPr/>
              <w:sdtContent>
                <w:r w:rsidR="002D7105">
                  <w:rPr>
                    <w:rFonts w:ascii="MS Gothic" w:eastAsia="MS Gothic" w:hAnsi="MS Gothic" w:hint="eastAsia"/>
                  </w:rPr>
                  <w:t>☐</w:t>
                </w:r>
              </w:sdtContent>
            </w:sdt>
            <w:r w:rsidR="002D7105">
              <w:t xml:space="preserve">   </w:t>
            </w:r>
            <w:r w:rsidR="002D7105" w:rsidRPr="002D7105">
              <w:t>Infection contributed to death</w:t>
            </w:r>
          </w:p>
        </w:tc>
      </w:tr>
      <w:tr w:rsidR="00BE2914" w14:paraId="1DD47CBC" w14:textId="77777777" w:rsidTr="007C13B3">
        <w:trPr>
          <w:trHeight w:val="295"/>
        </w:trPr>
        <w:tc>
          <w:tcPr>
            <w:tcW w:w="10890" w:type="dxa"/>
          </w:tcPr>
          <w:p w14:paraId="738A5B10" w14:textId="26691455" w:rsidR="00BE2914" w:rsidRDefault="005159B5" w:rsidP="00135D4A">
            <w:pPr>
              <w:pStyle w:val="BodyText"/>
            </w:pPr>
            <w:sdt>
              <w:sdtPr>
                <w:id w:val="421912092"/>
                <w14:checkbox>
                  <w14:checked w14:val="0"/>
                  <w14:checkedState w14:val="2612" w14:font="MS Gothic"/>
                  <w14:uncheckedState w14:val="2610" w14:font="MS Gothic"/>
                </w14:checkbox>
              </w:sdtPr>
              <w:sdtEndPr/>
              <w:sdtContent>
                <w:r w:rsidR="002D7105">
                  <w:rPr>
                    <w:rFonts w:ascii="MS Gothic" w:eastAsia="MS Gothic" w:hAnsi="MS Gothic" w:hint="eastAsia"/>
                  </w:rPr>
                  <w:t>☐</w:t>
                </w:r>
              </w:sdtContent>
            </w:sdt>
            <w:r w:rsidR="002D7105">
              <w:t xml:space="preserve">   </w:t>
            </w:r>
            <w:r w:rsidR="002D7105" w:rsidRPr="002D7105">
              <w:t>Ongoing sepsis</w:t>
            </w:r>
          </w:p>
        </w:tc>
      </w:tr>
      <w:tr w:rsidR="002D7105" w14:paraId="7F86A0E1" w14:textId="77777777" w:rsidTr="007C13B3">
        <w:trPr>
          <w:trHeight w:val="295"/>
        </w:trPr>
        <w:tc>
          <w:tcPr>
            <w:tcW w:w="10890" w:type="dxa"/>
            <w:shd w:val="clear" w:color="auto" w:fill="0F5CA2" w:themeFill="accent1"/>
          </w:tcPr>
          <w:p w14:paraId="332DCFB8" w14:textId="6533C115" w:rsidR="002D7105" w:rsidRDefault="002D7105" w:rsidP="00135D4A">
            <w:pPr>
              <w:pStyle w:val="BodyText"/>
            </w:pPr>
            <w:r w:rsidRPr="000C5F50">
              <w:rPr>
                <w:color w:val="FFFFFF" w:themeColor="background1"/>
              </w:rPr>
              <w:t>DEVICE OUTCOME</w:t>
            </w:r>
          </w:p>
        </w:tc>
      </w:tr>
      <w:tr w:rsidR="002D7105" w14:paraId="0696D515" w14:textId="77777777" w:rsidTr="007C13B3">
        <w:trPr>
          <w:trHeight w:val="295"/>
        </w:trPr>
        <w:tc>
          <w:tcPr>
            <w:tcW w:w="10890" w:type="dxa"/>
          </w:tcPr>
          <w:p w14:paraId="3C4DB0F3" w14:textId="654F8D8B" w:rsidR="002D7105" w:rsidRPr="00BC3ACB" w:rsidRDefault="002D7105" w:rsidP="002D7105">
            <w:pPr>
              <w:spacing w:before="60" w:after="60"/>
              <w:rPr>
                <w:rFonts w:cs="Arial"/>
                <w:sz w:val="20"/>
                <w:szCs w:val="20"/>
              </w:rPr>
            </w:pPr>
            <w:r w:rsidRPr="00BC3ACB">
              <w:rPr>
                <w:rFonts w:cs="Arial"/>
                <w:sz w:val="20"/>
                <w:szCs w:val="20"/>
              </w:rPr>
              <w:t xml:space="preserve">Removed (Please </w:t>
            </w:r>
            <w:proofErr w:type="gramStart"/>
            <w:r w:rsidRPr="00BC3ACB">
              <w:rPr>
                <w:rFonts w:cs="Arial"/>
                <w:sz w:val="20"/>
                <w:szCs w:val="20"/>
              </w:rPr>
              <w:t xml:space="preserve">circle) </w:t>
            </w:r>
            <w:r w:rsidR="005D2E19">
              <w:rPr>
                <w:rFonts w:cs="Arial"/>
                <w:sz w:val="20"/>
                <w:szCs w:val="20"/>
              </w:rPr>
              <w:t xml:space="preserve">  </w:t>
            </w:r>
            <w:proofErr w:type="gramEnd"/>
            <w:r w:rsidRPr="00BC3ACB">
              <w:rPr>
                <w:rFonts w:cs="Arial"/>
                <w:sz w:val="20"/>
                <w:szCs w:val="20"/>
              </w:rPr>
              <w:t>Yes / No                                             Date/ Time</w:t>
            </w:r>
            <w:r w:rsidR="005D2E19">
              <w:rPr>
                <w:rFonts w:cs="Arial"/>
                <w:sz w:val="20"/>
                <w:szCs w:val="20"/>
              </w:rPr>
              <w:t xml:space="preserve">: </w:t>
            </w:r>
            <w:r w:rsidR="005D2E19">
              <w:t>______________________</w:t>
            </w:r>
          </w:p>
          <w:p w14:paraId="4D63BEAD" w14:textId="0B8A32D9" w:rsidR="002D7105" w:rsidRDefault="002D7105" w:rsidP="002D7105">
            <w:pPr>
              <w:pStyle w:val="BodyText"/>
            </w:pPr>
            <w:r w:rsidRPr="00BC3ACB">
              <w:rPr>
                <w:rFonts w:cs="Arial"/>
                <w:sz w:val="20"/>
                <w:szCs w:val="20"/>
              </w:rPr>
              <w:t>If not removed provide reason:</w:t>
            </w:r>
          </w:p>
        </w:tc>
      </w:tr>
    </w:tbl>
    <w:p w14:paraId="0639DF48" w14:textId="77777777" w:rsidR="00D0426B" w:rsidRDefault="00D0426B" w:rsidP="00C5274A">
      <w:pPr>
        <w:pStyle w:val="Heading4"/>
        <w:ind w:left="-990"/>
      </w:pPr>
    </w:p>
    <w:p w14:paraId="6FAFFD1B" w14:textId="77777777" w:rsidR="00D0426B" w:rsidRDefault="00D0426B">
      <w:pPr>
        <w:rPr>
          <w:rFonts w:eastAsiaTheme="majorEastAsia" w:cstheme="majorBidi"/>
          <w:iCs/>
          <w:color w:val="1880AD" w:themeColor="accent3" w:themeShade="BF"/>
          <w:kern w:val="21"/>
          <w:sz w:val="27"/>
          <w:lang w:val="en-AU"/>
          <w14:numSpacing w14:val="proportional"/>
        </w:rPr>
      </w:pPr>
      <w:r>
        <w:br w:type="page"/>
      </w:r>
    </w:p>
    <w:p w14:paraId="4F3B6CA4" w14:textId="75379084" w:rsidR="009A5980" w:rsidRDefault="00117EAE" w:rsidP="00C5274A">
      <w:pPr>
        <w:pStyle w:val="Heading4"/>
        <w:ind w:left="-990"/>
      </w:pPr>
      <w:r>
        <w:lastRenderedPageBreak/>
        <w:t>Step 3</w:t>
      </w:r>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3"/>
        <w:gridCol w:w="3547"/>
        <w:gridCol w:w="1350"/>
        <w:gridCol w:w="810"/>
        <w:gridCol w:w="630"/>
        <w:gridCol w:w="540"/>
        <w:gridCol w:w="720"/>
      </w:tblGrid>
      <w:tr w:rsidR="00747F03" w14:paraId="27FEA83E" w14:textId="4BED9992" w:rsidTr="00D73C67">
        <w:trPr>
          <w:trHeight w:val="600"/>
        </w:trPr>
        <w:tc>
          <w:tcPr>
            <w:tcW w:w="10890" w:type="dxa"/>
            <w:gridSpan w:val="7"/>
            <w:shd w:val="clear" w:color="auto" w:fill="0F5CA2" w:themeFill="accent1"/>
          </w:tcPr>
          <w:p w14:paraId="752962AF" w14:textId="2A46CB3C" w:rsidR="00747F03" w:rsidRPr="00AF5D2E" w:rsidRDefault="00747F03" w:rsidP="00B8567D">
            <w:pPr>
              <w:pStyle w:val="BodyText"/>
              <w:rPr>
                <w:color w:val="F1F2F2" w:themeColor="background2"/>
              </w:rPr>
            </w:pPr>
            <w:r w:rsidRPr="00AF5D2E">
              <w:rPr>
                <w:color w:val="F1F2F2" w:themeColor="background2"/>
              </w:rPr>
              <w:t>SECTION A – WITHIN 48 HOURS OF INSERTION</w:t>
            </w:r>
          </w:p>
        </w:tc>
      </w:tr>
      <w:tr w:rsidR="0055179F" w14:paraId="4BF1E93B" w14:textId="16C20E07" w:rsidTr="00747F03">
        <w:trPr>
          <w:trHeight w:val="600"/>
        </w:trPr>
        <w:tc>
          <w:tcPr>
            <w:tcW w:w="9000" w:type="dxa"/>
            <w:gridSpan w:val="4"/>
            <w:shd w:val="clear" w:color="auto" w:fill="81B2DE" w:themeFill="text2" w:themeFillTint="66"/>
          </w:tcPr>
          <w:p w14:paraId="7C07A27F" w14:textId="6F5F0CCF" w:rsidR="000452C0" w:rsidRPr="00AF5D2E" w:rsidRDefault="000452C0" w:rsidP="00B8567D">
            <w:pPr>
              <w:pStyle w:val="BodyText"/>
              <w:rPr>
                <w:rFonts w:ascii="Fira Sans SemiBold" w:hAnsi="Fira Sans SemiBold"/>
              </w:rPr>
            </w:pPr>
            <w:r w:rsidRPr="00AF5D2E">
              <w:rPr>
                <w:rFonts w:ascii="Fira Sans SemiBold" w:hAnsi="Fira Sans SemiBold"/>
              </w:rPr>
              <w:t>INSERTION DETAILS Batch/Brand/Type</w:t>
            </w:r>
          </w:p>
        </w:tc>
        <w:tc>
          <w:tcPr>
            <w:tcW w:w="630" w:type="dxa"/>
            <w:shd w:val="clear" w:color="auto" w:fill="81B2DE" w:themeFill="text2" w:themeFillTint="66"/>
          </w:tcPr>
          <w:p w14:paraId="56F8CFDD" w14:textId="64AD81F2" w:rsidR="000452C0" w:rsidRPr="00AF5D2E" w:rsidRDefault="000452C0" w:rsidP="00B8567D">
            <w:pPr>
              <w:pStyle w:val="BodyText"/>
              <w:ind w:left="29"/>
              <w:jc w:val="center"/>
              <w:rPr>
                <w:rFonts w:ascii="Fira Sans SemiBold" w:hAnsi="Fira Sans SemiBold"/>
              </w:rPr>
            </w:pPr>
            <w:r w:rsidRPr="00AF5D2E">
              <w:rPr>
                <w:rFonts w:ascii="Fira Sans SemiBold" w:hAnsi="Fira Sans SemiBold"/>
              </w:rPr>
              <w:t>YES</w:t>
            </w:r>
          </w:p>
        </w:tc>
        <w:tc>
          <w:tcPr>
            <w:tcW w:w="540" w:type="dxa"/>
            <w:shd w:val="clear" w:color="auto" w:fill="81B2DE" w:themeFill="text2" w:themeFillTint="66"/>
          </w:tcPr>
          <w:p w14:paraId="13C26752" w14:textId="6E8A9EBE" w:rsidR="000452C0" w:rsidRPr="00AF5D2E" w:rsidRDefault="000452C0" w:rsidP="00B8567D">
            <w:pPr>
              <w:pStyle w:val="BodyText"/>
              <w:jc w:val="center"/>
              <w:rPr>
                <w:rFonts w:ascii="Fira Sans SemiBold" w:hAnsi="Fira Sans SemiBold"/>
              </w:rPr>
            </w:pPr>
            <w:r w:rsidRPr="00AF5D2E">
              <w:rPr>
                <w:rFonts w:ascii="Fira Sans SemiBold" w:hAnsi="Fira Sans SemiBold"/>
              </w:rPr>
              <w:t>NO</w:t>
            </w:r>
          </w:p>
        </w:tc>
        <w:tc>
          <w:tcPr>
            <w:tcW w:w="720" w:type="dxa"/>
            <w:shd w:val="clear" w:color="auto" w:fill="81B2DE" w:themeFill="text2" w:themeFillTint="66"/>
          </w:tcPr>
          <w:p w14:paraId="2DA0E35B" w14:textId="7198F380" w:rsidR="000452C0" w:rsidRPr="00AF5D2E" w:rsidRDefault="000452C0" w:rsidP="00B8567D">
            <w:pPr>
              <w:pStyle w:val="BodyText"/>
              <w:jc w:val="center"/>
              <w:rPr>
                <w:rFonts w:ascii="Fira Sans SemiBold" w:hAnsi="Fira Sans SemiBold"/>
              </w:rPr>
            </w:pPr>
            <w:r w:rsidRPr="00AF5D2E">
              <w:rPr>
                <w:rFonts w:ascii="Fira Sans SemiBold" w:hAnsi="Fira Sans SemiBold"/>
              </w:rPr>
              <w:t>N/A•</w:t>
            </w:r>
          </w:p>
        </w:tc>
      </w:tr>
      <w:tr w:rsidR="0055179F" w14:paraId="0A22DBD9" w14:textId="702765F2" w:rsidTr="00747F03">
        <w:trPr>
          <w:trHeight w:val="600"/>
        </w:trPr>
        <w:tc>
          <w:tcPr>
            <w:tcW w:w="9000" w:type="dxa"/>
            <w:gridSpan w:val="4"/>
          </w:tcPr>
          <w:p w14:paraId="3E136BFF" w14:textId="207072D3" w:rsidR="000452C0" w:rsidRDefault="000452C0" w:rsidP="00B8567D">
            <w:pPr>
              <w:pStyle w:val="BodyText"/>
            </w:pPr>
            <w:r w:rsidRPr="00117EAE">
              <w:t>Insertion date: ___/___/</w:t>
            </w:r>
            <w:r w:rsidR="002277C5" w:rsidRPr="00117EAE">
              <w:t>___</w:t>
            </w:r>
            <w:r w:rsidR="002E1EC4">
              <w:t xml:space="preserve">         </w:t>
            </w:r>
            <w:r w:rsidRPr="00117EAE">
              <w:t>Time inserted: ___: ___</w:t>
            </w:r>
          </w:p>
        </w:tc>
        <w:tc>
          <w:tcPr>
            <w:tcW w:w="630" w:type="dxa"/>
          </w:tcPr>
          <w:p w14:paraId="07C45B9E" w14:textId="77777777" w:rsidR="000452C0" w:rsidRDefault="000452C0" w:rsidP="00B8567D">
            <w:pPr>
              <w:pStyle w:val="BodyText"/>
            </w:pPr>
          </w:p>
        </w:tc>
        <w:tc>
          <w:tcPr>
            <w:tcW w:w="540" w:type="dxa"/>
          </w:tcPr>
          <w:p w14:paraId="7A8B915C" w14:textId="2F4511B0" w:rsidR="000452C0" w:rsidRDefault="000452C0" w:rsidP="00B8567D">
            <w:pPr>
              <w:pStyle w:val="BodyText"/>
            </w:pPr>
          </w:p>
        </w:tc>
        <w:tc>
          <w:tcPr>
            <w:tcW w:w="720" w:type="dxa"/>
          </w:tcPr>
          <w:p w14:paraId="327ED7D2" w14:textId="5FF95054" w:rsidR="000452C0" w:rsidRDefault="000452C0" w:rsidP="00B8567D">
            <w:pPr>
              <w:pStyle w:val="BodyText"/>
            </w:pPr>
          </w:p>
        </w:tc>
      </w:tr>
      <w:tr w:rsidR="0055179F" w14:paraId="0D6723F0" w14:textId="7D1AB95B" w:rsidTr="00747F03">
        <w:trPr>
          <w:trHeight w:val="600"/>
        </w:trPr>
        <w:tc>
          <w:tcPr>
            <w:tcW w:w="9000" w:type="dxa"/>
            <w:gridSpan w:val="4"/>
          </w:tcPr>
          <w:p w14:paraId="4805464F" w14:textId="082EC73E" w:rsidR="000452C0" w:rsidRDefault="000452C0" w:rsidP="00B8567D">
            <w:pPr>
              <w:pStyle w:val="BodyText"/>
            </w:pPr>
            <w:r w:rsidRPr="00117EAE">
              <w:t>Was the insertion a guide-wire exchange?</w:t>
            </w:r>
          </w:p>
        </w:tc>
        <w:tc>
          <w:tcPr>
            <w:tcW w:w="630" w:type="dxa"/>
          </w:tcPr>
          <w:p w14:paraId="57D1EAAA" w14:textId="77777777" w:rsidR="000452C0" w:rsidRDefault="000452C0" w:rsidP="00B8567D">
            <w:pPr>
              <w:pStyle w:val="BodyText"/>
            </w:pPr>
          </w:p>
        </w:tc>
        <w:tc>
          <w:tcPr>
            <w:tcW w:w="540" w:type="dxa"/>
          </w:tcPr>
          <w:p w14:paraId="590ABB90" w14:textId="08664E2E" w:rsidR="000452C0" w:rsidRDefault="000452C0" w:rsidP="00B8567D">
            <w:pPr>
              <w:pStyle w:val="BodyText"/>
            </w:pPr>
          </w:p>
        </w:tc>
        <w:tc>
          <w:tcPr>
            <w:tcW w:w="720" w:type="dxa"/>
          </w:tcPr>
          <w:p w14:paraId="0545DBC9" w14:textId="51984137" w:rsidR="000452C0" w:rsidRDefault="000452C0" w:rsidP="00B8567D">
            <w:pPr>
              <w:pStyle w:val="BodyText"/>
            </w:pPr>
          </w:p>
        </w:tc>
      </w:tr>
      <w:tr w:rsidR="0055179F" w14:paraId="3A4132E5" w14:textId="626B363E" w:rsidTr="00747F03">
        <w:trPr>
          <w:trHeight w:val="600"/>
        </w:trPr>
        <w:tc>
          <w:tcPr>
            <w:tcW w:w="9000" w:type="dxa"/>
            <w:gridSpan w:val="4"/>
          </w:tcPr>
          <w:p w14:paraId="669237E2" w14:textId="77777777" w:rsidR="000452C0" w:rsidRDefault="000452C0" w:rsidP="00B8567D">
            <w:pPr>
              <w:pStyle w:val="BodyText"/>
            </w:pPr>
            <w:r>
              <w:t>Batch:                       Brand:</w:t>
            </w:r>
          </w:p>
          <w:p w14:paraId="1276BD0F" w14:textId="5E32B0A9" w:rsidR="000452C0" w:rsidRDefault="005159B5" w:rsidP="00B8567D">
            <w:pPr>
              <w:pStyle w:val="BodyText"/>
            </w:pPr>
            <w:sdt>
              <w:sdtPr>
                <w:id w:val="189041781"/>
                <w14:checkbox>
                  <w14:checked w14:val="0"/>
                  <w14:checkedState w14:val="2612" w14:font="MS Gothic"/>
                  <w14:uncheckedState w14:val="2610" w14:font="MS Gothic"/>
                </w14:checkbox>
              </w:sdtPr>
              <w:sdtEndPr/>
              <w:sdtContent>
                <w:r w:rsidR="002277C5">
                  <w:rPr>
                    <w:rFonts w:ascii="MS Gothic" w:eastAsia="MS Gothic" w:hAnsi="MS Gothic" w:hint="eastAsia"/>
                  </w:rPr>
                  <w:t>☐</w:t>
                </w:r>
              </w:sdtContent>
            </w:sdt>
            <w:r w:rsidR="002277C5">
              <w:t xml:space="preserve"> </w:t>
            </w:r>
            <w:r w:rsidR="00BB2A3A">
              <w:t xml:space="preserve"> </w:t>
            </w:r>
            <w:r w:rsidR="000452C0">
              <w:t xml:space="preserve">PICC   </w:t>
            </w:r>
            <w:sdt>
              <w:sdtPr>
                <w:id w:val="-1902908374"/>
                <w14:checkbox>
                  <w14:checked w14:val="0"/>
                  <w14:checkedState w14:val="2612" w14:font="MS Gothic"/>
                  <w14:uncheckedState w14:val="2610" w14:font="MS Gothic"/>
                </w14:checkbox>
              </w:sdtPr>
              <w:sdtEndPr/>
              <w:sdtContent>
                <w:r w:rsidR="002277C5">
                  <w:rPr>
                    <w:rFonts w:ascii="MS Gothic" w:eastAsia="MS Gothic" w:hAnsi="MS Gothic" w:hint="eastAsia"/>
                  </w:rPr>
                  <w:t>☐</w:t>
                </w:r>
              </w:sdtContent>
            </w:sdt>
            <w:r w:rsidR="000452C0">
              <w:t xml:space="preserve"> </w:t>
            </w:r>
            <w:r w:rsidR="00BB2A3A">
              <w:t xml:space="preserve"> </w:t>
            </w:r>
            <w:r w:rsidR="000452C0">
              <w:t xml:space="preserve">PORT   </w:t>
            </w:r>
            <w:sdt>
              <w:sdtPr>
                <w:id w:val="251485465"/>
                <w14:checkbox>
                  <w14:checked w14:val="0"/>
                  <w14:checkedState w14:val="2612" w14:font="MS Gothic"/>
                  <w14:uncheckedState w14:val="2610" w14:font="MS Gothic"/>
                </w14:checkbox>
              </w:sdtPr>
              <w:sdtEndPr/>
              <w:sdtContent>
                <w:r w:rsidR="002277C5">
                  <w:rPr>
                    <w:rFonts w:ascii="MS Gothic" w:eastAsia="MS Gothic" w:hAnsi="MS Gothic" w:hint="eastAsia"/>
                  </w:rPr>
                  <w:t>☐</w:t>
                </w:r>
              </w:sdtContent>
            </w:sdt>
            <w:r w:rsidR="000452C0">
              <w:t xml:space="preserve"> </w:t>
            </w:r>
            <w:r w:rsidR="00BB2A3A">
              <w:t xml:space="preserve"> </w:t>
            </w:r>
            <w:r w:rsidR="000452C0">
              <w:t xml:space="preserve">Percutaneous CVC   </w:t>
            </w:r>
            <w:sdt>
              <w:sdtPr>
                <w:id w:val="59453925"/>
                <w14:checkbox>
                  <w14:checked w14:val="0"/>
                  <w14:checkedState w14:val="2612" w14:font="MS Gothic"/>
                  <w14:uncheckedState w14:val="2610" w14:font="MS Gothic"/>
                </w14:checkbox>
              </w:sdtPr>
              <w:sdtEndPr/>
              <w:sdtContent>
                <w:r w:rsidR="002277C5">
                  <w:rPr>
                    <w:rFonts w:ascii="MS Gothic" w:eastAsia="MS Gothic" w:hAnsi="MS Gothic" w:hint="eastAsia"/>
                  </w:rPr>
                  <w:t>☐</w:t>
                </w:r>
              </w:sdtContent>
            </w:sdt>
            <w:r w:rsidR="000452C0">
              <w:t xml:space="preserve"> </w:t>
            </w:r>
            <w:r w:rsidR="00BB2A3A">
              <w:t xml:space="preserve"> </w:t>
            </w:r>
            <w:r w:rsidR="000452C0">
              <w:t xml:space="preserve">Tunnelled CVC   </w:t>
            </w:r>
          </w:p>
          <w:p w14:paraId="7C1B315A" w14:textId="59B01990" w:rsidR="000452C0" w:rsidRDefault="005159B5" w:rsidP="00B8567D">
            <w:pPr>
              <w:pStyle w:val="BodyText"/>
            </w:pPr>
            <w:sdt>
              <w:sdtPr>
                <w:id w:val="584113044"/>
                <w14:checkbox>
                  <w14:checked w14:val="0"/>
                  <w14:checkedState w14:val="2612" w14:font="MS Gothic"/>
                  <w14:uncheckedState w14:val="2610" w14:font="MS Gothic"/>
                </w14:checkbox>
              </w:sdtPr>
              <w:sdtEndPr/>
              <w:sdtContent>
                <w:r w:rsidR="002277C5">
                  <w:rPr>
                    <w:rFonts w:ascii="MS Gothic" w:eastAsia="MS Gothic" w:hAnsi="MS Gothic" w:hint="eastAsia"/>
                  </w:rPr>
                  <w:t>☐</w:t>
                </w:r>
              </w:sdtContent>
            </w:sdt>
            <w:r w:rsidR="002277C5">
              <w:t xml:space="preserve"> </w:t>
            </w:r>
            <w:r w:rsidR="00BB2A3A">
              <w:t xml:space="preserve"> </w:t>
            </w:r>
            <w:r w:rsidR="000452C0">
              <w:t xml:space="preserve">Haemodialysis Catheter   </w:t>
            </w:r>
            <w:r w:rsidR="002277C5">
              <w:t xml:space="preserve"> </w:t>
            </w:r>
            <w:sdt>
              <w:sdtPr>
                <w:id w:val="647566396"/>
                <w14:checkbox>
                  <w14:checked w14:val="0"/>
                  <w14:checkedState w14:val="2612" w14:font="MS Gothic"/>
                  <w14:uncheckedState w14:val="2610" w14:font="MS Gothic"/>
                </w14:checkbox>
              </w:sdtPr>
              <w:sdtEndPr/>
              <w:sdtContent>
                <w:r w:rsidR="002277C5">
                  <w:rPr>
                    <w:rFonts w:ascii="MS Gothic" w:eastAsia="MS Gothic" w:hAnsi="MS Gothic" w:hint="eastAsia"/>
                  </w:rPr>
                  <w:t>☐</w:t>
                </w:r>
              </w:sdtContent>
            </w:sdt>
            <w:r w:rsidR="002277C5">
              <w:t xml:space="preserve"> </w:t>
            </w:r>
            <w:r w:rsidR="00BB2A3A">
              <w:t xml:space="preserve"> </w:t>
            </w:r>
            <w:r w:rsidR="000452C0">
              <w:t>PIVC</w:t>
            </w:r>
          </w:p>
        </w:tc>
        <w:tc>
          <w:tcPr>
            <w:tcW w:w="630" w:type="dxa"/>
          </w:tcPr>
          <w:p w14:paraId="56CBA7D4" w14:textId="77777777" w:rsidR="000452C0" w:rsidRDefault="000452C0" w:rsidP="00B8567D">
            <w:pPr>
              <w:rPr>
                <w:kern w:val="21"/>
                <w:lang w:val="en-AU"/>
                <w14:numSpacing w14:val="proportional"/>
              </w:rPr>
            </w:pPr>
          </w:p>
          <w:p w14:paraId="36FB03C0" w14:textId="77777777" w:rsidR="000452C0" w:rsidRDefault="000452C0" w:rsidP="00B8567D">
            <w:pPr>
              <w:pStyle w:val="BodyText"/>
            </w:pPr>
          </w:p>
        </w:tc>
        <w:tc>
          <w:tcPr>
            <w:tcW w:w="540" w:type="dxa"/>
          </w:tcPr>
          <w:p w14:paraId="58FFA602" w14:textId="1F7A6ED7" w:rsidR="000452C0" w:rsidRDefault="000452C0" w:rsidP="00B8567D">
            <w:pPr>
              <w:pStyle w:val="BodyText"/>
            </w:pPr>
          </w:p>
          <w:p w14:paraId="7BBE924E" w14:textId="77777777" w:rsidR="000452C0" w:rsidRDefault="000452C0" w:rsidP="00B8567D">
            <w:pPr>
              <w:pStyle w:val="BodyText"/>
            </w:pPr>
          </w:p>
        </w:tc>
        <w:tc>
          <w:tcPr>
            <w:tcW w:w="720" w:type="dxa"/>
          </w:tcPr>
          <w:p w14:paraId="743E27CC" w14:textId="55C4D8D0" w:rsidR="000452C0" w:rsidRDefault="000452C0" w:rsidP="00B8567D">
            <w:pPr>
              <w:pStyle w:val="BodyText"/>
            </w:pPr>
          </w:p>
          <w:p w14:paraId="460CCDC0" w14:textId="77777777" w:rsidR="000452C0" w:rsidRDefault="000452C0" w:rsidP="00B8567D">
            <w:pPr>
              <w:pStyle w:val="BodyText"/>
            </w:pPr>
          </w:p>
        </w:tc>
      </w:tr>
      <w:tr w:rsidR="0055179F" w14:paraId="373D2EFE" w14:textId="0EECFB03" w:rsidTr="00747F03">
        <w:trPr>
          <w:trHeight w:val="600"/>
        </w:trPr>
        <w:tc>
          <w:tcPr>
            <w:tcW w:w="9000" w:type="dxa"/>
            <w:gridSpan w:val="4"/>
          </w:tcPr>
          <w:p w14:paraId="28CF6407" w14:textId="55FA665F" w:rsidR="000452C0" w:rsidRDefault="000452C0" w:rsidP="00B8567D">
            <w:pPr>
              <w:pStyle w:val="BodyText"/>
            </w:pPr>
            <w:r w:rsidRPr="00117EAE">
              <w:t>Were prophylactic antibiotics administered to prevent catheter colonisation or bloodstream infection?</w:t>
            </w:r>
          </w:p>
        </w:tc>
        <w:tc>
          <w:tcPr>
            <w:tcW w:w="630" w:type="dxa"/>
          </w:tcPr>
          <w:p w14:paraId="238DAE91" w14:textId="77777777" w:rsidR="000452C0" w:rsidRDefault="000452C0" w:rsidP="00B8567D">
            <w:pPr>
              <w:pStyle w:val="BodyText"/>
            </w:pPr>
          </w:p>
        </w:tc>
        <w:tc>
          <w:tcPr>
            <w:tcW w:w="540" w:type="dxa"/>
          </w:tcPr>
          <w:p w14:paraId="1244B80D" w14:textId="0CFB663B" w:rsidR="000452C0" w:rsidRDefault="000452C0" w:rsidP="00B8567D">
            <w:pPr>
              <w:pStyle w:val="BodyText"/>
            </w:pPr>
          </w:p>
        </w:tc>
        <w:tc>
          <w:tcPr>
            <w:tcW w:w="720" w:type="dxa"/>
          </w:tcPr>
          <w:p w14:paraId="346655B7" w14:textId="6C1239EA" w:rsidR="000452C0" w:rsidRDefault="000452C0" w:rsidP="00B8567D">
            <w:pPr>
              <w:pStyle w:val="BodyText"/>
            </w:pPr>
          </w:p>
        </w:tc>
      </w:tr>
      <w:tr w:rsidR="0055179F" w14:paraId="017250B3" w14:textId="114A2E0F" w:rsidTr="00747F03">
        <w:trPr>
          <w:trHeight w:val="600"/>
        </w:trPr>
        <w:tc>
          <w:tcPr>
            <w:tcW w:w="9000" w:type="dxa"/>
            <w:gridSpan w:val="4"/>
          </w:tcPr>
          <w:p w14:paraId="6850DE70" w14:textId="7E8992E4" w:rsidR="000452C0" w:rsidRDefault="000452C0" w:rsidP="00B8567D">
            <w:pPr>
              <w:pStyle w:val="BodyText"/>
            </w:pPr>
            <w:r w:rsidRPr="00BC3ACB">
              <w:rPr>
                <w:rFonts w:cs="Arial"/>
                <w:sz w:val="20"/>
                <w:szCs w:val="20"/>
              </w:rPr>
              <w:t xml:space="preserve">If the catheter was inserted in an emergency, was the catheter replaced within 48 hours?  </w:t>
            </w:r>
          </w:p>
        </w:tc>
        <w:tc>
          <w:tcPr>
            <w:tcW w:w="630" w:type="dxa"/>
          </w:tcPr>
          <w:p w14:paraId="405E33A3" w14:textId="77777777" w:rsidR="000452C0" w:rsidRDefault="000452C0" w:rsidP="00B8567D">
            <w:pPr>
              <w:pStyle w:val="BodyText"/>
            </w:pPr>
          </w:p>
        </w:tc>
        <w:tc>
          <w:tcPr>
            <w:tcW w:w="540" w:type="dxa"/>
          </w:tcPr>
          <w:p w14:paraId="7EFDF66F" w14:textId="168D28AD" w:rsidR="000452C0" w:rsidRDefault="000452C0" w:rsidP="00B8567D">
            <w:pPr>
              <w:pStyle w:val="BodyText"/>
            </w:pPr>
          </w:p>
        </w:tc>
        <w:tc>
          <w:tcPr>
            <w:tcW w:w="720" w:type="dxa"/>
          </w:tcPr>
          <w:p w14:paraId="65D5B3B6" w14:textId="2D9D1A12" w:rsidR="000452C0" w:rsidRDefault="000452C0" w:rsidP="00B8567D">
            <w:pPr>
              <w:pStyle w:val="BodyText"/>
            </w:pPr>
          </w:p>
        </w:tc>
      </w:tr>
      <w:tr w:rsidR="0055179F" w14:paraId="28D54FD7" w14:textId="43D30704" w:rsidTr="00747F03">
        <w:trPr>
          <w:trHeight w:val="600"/>
        </w:trPr>
        <w:tc>
          <w:tcPr>
            <w:tcW w:w="9000" w:type="dxa"/>
            <w:gridSpan w:val="4"/>
          </w:tcPr>
          <w:p w14:paraId="0BCF3FF5" w14:textId="3D1430F1" w:rsidR="000452C0" w:rsidRDefault="000452C0" w:rsidP="00B8567D">
            <w:pPr>
              <w:pStyle w:val="BodyText"/>
            </w:pPr>
            <w:r w:rsidRPr="00BC3ACB">
              <w:rPr>
                <w:rFonts w:cs="Arial"/>
                <w:sz w:val="20"/>
                <w:szCs w:val="20"/>
              </w:rPr>
              <w:t>Was an Insertion checklist used? (If no, conduct an observation using it)</w:t>
            </w:r>
          </w:p>
        </w:tc>
        <w:tc>
          <w:tcPr>
            <w:tcW w:w="630" w:type="dxa"/>
          </w:tcPr>
          <w:p w14:paraId="2624BFC0" w14:textId="77777777" w:rsidR="000452C0" w:rsidRDefault="000452C0" w:rsidP="00B8567D">
            <w:pPr>
              <w:pStyle w:val="BodyText"/>
            </w:pPr>
          </w:p>
        </w:tc>
        <w:tc>
          <w:tcPr>
            <w:tcW w:w="540" w:type="dxa"/>
          </w:tcPr>
          <w:p w14:paraId="72696F8C" w14:textId="49DFB4B7" w:rsidR="000452C0" w:rsidRDefault="000452C0" w:rsidP="00B8567D">
            <w:pPr>
              <w:pStyle w:val="BodyText"/>
            </w:pPr>
          </w:p>
        </w:tc>
        <w:tc>
          <w:tcPr>
            <w:tcW w:w="720" w:type="dxa"/>
          </w:tcPr>
          <w:p w14:paraId="11C10D81" w14:textId="702C669C" w:rsidR="000452C0" w:rsidRDefault="000452C0" w:rsidP="00B8567D">
            <w:pPr>
              <w:pStyle w:val="BodyText"/>
            </w:pPr>
          </w:p>
        </w:tc>
      </w:tr>
      <w:tr w:rsidR="00A30F6C" w14:paraId="37EBDA99" w14:textId="651B6845" w:rsidTr="006C4415">
        <w:trPr>
          <w:trHeight w:val="600"/>
        </w:trPr>
        <w:tc>
          <w:tcPr>
            <w:tcW w:w="3293" w:type="dxa"/>
            <w:shd w:val="clear" w:color="auto" w:fill="0F5CA2" w:themeFill="accent1"/>
          </w:tcPr>
          <w:p w14:paraId="319B8FE4" w14:textId="11AA079B" w:rsidR="00A30F6C" w:rsidRPr="00BB2A3A" w:rsidRDefault="00A30F6C" w:rsidP="00B8567D">
            <w:pPr>
              <w:pStyle w:val="BodyText"/>
              <w:rPr>
                <w:color w:val="F1F2F2" w:themeColor="background2"/>
              </w:rPr>
            </w:pPr>
            <w:r w:rsidRPr="00BB2A3A">
              <w:rPr>
                <w:rFonts w:cs="Arial"/>
                <w:color w:val="F1F2F2" w:themeColor="background2"/>
                <w:sz w:val="20"/>
                <w:szCs w:val="20"/>
              </w:rPr>
              <w:t>Who inserted the catheter?</w:t>
            </w:r>
          </w:p>
        </w:tc>
        <w:tc>
          <w:tcPr>
            <w:tcW w:w="3547" w:type="dxa"/>
            <w:shd w:val="clear" w:color="auto" w:fill="0F5CA2" w:themeFill="accent1"/>
          </w:tcPr>
          <w:p w14:paraId="13A2AA1A" w14:textId="33EEA933" w:rsidR="00A30F6C" w:rsidRPr="00BB2A3A" w:rsidRDefault="00A30F6C" w:rsidP="00B8567D">
            <w:pPr>
              <w:pStyle w:val="BodyText"/>
              <w:rPr>
                <w:color w:val="F1F2F2" w:themeColor="background2"/>
              </w:rPr>
            </w:pPr>
            <w:r w:rsidRPr="00BB2A3A">
              <w:rPr>
                <w:color w:val="F1F2F2" w:themeColor="background2"/>
              </w:rPr>
              <w:t>Location of catheter insertion</w:t>
            </w:r>
          </w:p>
        </w:tc>
        <w:tc>
          <w:tcPr>
            <w:tcW w:w="2160" w:type="dxa"/>
            <w:gridSpan w:val="2"/>
            <w:shd w:val="clear" w:color="auto" w:fill="0F5CA2" w:themeFill="accent1"/>
          </w:tcPr>
          <w:p w14:paraId="76504521" w14:textId="50D2CB8A" w:rsidR="00A30F6C" w:rsidRPr="00BB2A3A" w:rsidRDefault="00A30F6C" w:rsidP="00B8567D">
            <w:pPr>
              <w:pStyle w:val="BodyText"/>
              <w:rPr>
                <w:color w:val="F1F2F2" w:themeColor="background2"/>
              </w:rPr>
            </w:pPr>
            <w:r w:rsidRPr="00BB2A3A">
              <w:rPr>
                <w:color w:val="F1F2F2" w:themeColor="background2"/>
              </w:rPr>
              <w:t>Catheter gauge &amp; lumen number</w:t>
            </w:r>
          </w:p>
        </w:tc>
        <w:tc>
          <w:tcPr>
            <w:tcW w:w="1890" w:type="dxa"/>
            <w:gridSpan w:val="3"/>
            <w:shd w:val="clear" w:color="auto" w:fill="0F5CA2" w:themeFill="accent1"/>
          </w:tcPr>
          <w:p w14:paraId="677C0903" w14:textId="439EC1B7" w:rsidR="00A30F6C" w:rsidRPr="00BB2A3A" w:rsidRDefault="00A30F6C" w:rsidP="00B8567D">
            <w:pPr>
              <w:pStyle w:val="BodyText"/>
              <w:rPr>
                <w:color w:val="F1F2F2" w:themeColor="background2"/>
              </w:rPr>
            </w:pPr>
            <w:r w:rsidRPr="00BB2A3A">
              <w:rPr>
                <w:color w:val="F1F2F2" w:themeColor="background2"/>
              </w:rPr>
              <w:t>Site of insertion (also refer Appendix 1)</w:t>
            </w:r>
          </w:p>
        </w:tc>
      </w:tr>
      <w:tr w:rsidR="006C4415" w14:paraId="03430D59" w14:textId="1980D48C" w:rsidTr="006C4415">
        <w:trPr>
          <w:trHeight w:val="475"/>
        </w:trPr>
        <w:tc>
          <w:tcPr>
            <w:tcW w:w="3293" w:type="dxa"/>
          </w:tcPr>
          <w:p w14:paraId="55AA59C7" w14:textId="4812B8B1" w:rsidR="006C4415" w:rsidRDefault="005159B5" w:rsidP="00B8567D">
            <w:pPr>
              <w:pStyle w:val="BodyText"/>
            </w:pPr>
            <w:sdt>
              <w:sdtPr>
                <w:id w:val="1187337263"/>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Consultant</w:t>
            </w:r>
          </w:p>
        </w:tc>
        <w:tc>
          <w:tcPr>
            <w:tcW w:w="3547" w:type="dxa"/>
          </w:tcPr>
          <w:p w14:paraId="53ACB964" w14:textId="214A3C3E" w:rsidR="006C4415" w:rsidRDefault="005159B5" w:rsidP="00B8567D">
            <w:pPr>
              <w:pStyle w:val="BodyText"/>
            </w:pPr>
            <w:sdt>
              <w:sdtPr>
                <w:id w:val="-837614586"/>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Ward _________</w:t>
            </w:r>
          </w:p>
        </w:tc>
        <w:tc>
          <w:tcPr>
            <w:tcW w:w="2160" w:type="dxa"/>
            <w:gridSpan w:val="2"/>
            <w:vMerge w:val="restart"/>
          </w:tcPr>
          <w:p w14:paraId="14AF94FF" w14:textId="72D36CCF" w:rsidR="006C4415" w:rsidRDefault="006C4415" w:rsidP="00B8567D">
            <w:pPr>
              <w:pStyle w:val="BodyText"/>
            </w:pPr>
            <w:r>
              <w:t>__________ g</w:t>
            </w:r>
          </w:p>
          <w:p w14:paraId="1D24328B" w14:textId="2411DB5F" w:rsidR="006C4415" w:rsidRDefault="006C4415" w:rsidP="00B8567D">
            <w:pPr>
              <w:pStyle w:val="BodyText"/>
            </w:pPr>
          </w:p>
        </w:tc>
        <w:tc>
          <w:tcPr>
            <w:tcW w:w="1890" w:type="dxa"/>
            <w:gridSpan w:val="3"/>
            <w:vMerge w:val="restart"/>
          </w:tcPr>
          <w:p w14:paraId="312D8EA4" w14:textId="280DE6F9" w:rsidR="006C4415" w:rsidRDefault="005159B5" w:rsidP="001D65FE">
            <w:pPr>
              <w:pStyle w:val="BodyText"/>
              <w:spacing w:before="60" w:after="60"/>
            </w:pPr>
            <w:sdt>
              <w:sdtPr>
                <w:id w:val="776140387"/>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Right</w:t>
            </w:r>
          </w:p>
          <w:p w14:paraId="3BC602BE" w14:textId="3C1A463E" w:rsidR="006C4415" w:rsidRDefault="005159B5" w:rsidP="001D65FE">
            <w:pPr>
              <w:pStyle w:val="BodyText"/>
              <w:spacing w:before="60" w:after="60"/>
            </w:pPr>
            <w:sdt>
              <w:sdtPr>
                <w:id w:val="-2136468972"/>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Left</w:t>
            </w:r>
          </w:p>
          <w:p w14:paraId="366412B5" w14:textId="0A31BDF4" w:rsidR="006C4415" w:rsidRDefault="005159B5" w:rsidP="001D65FE">
            <w:pPr>
              <w:pStyle w:val="BodyText"/>
              <w:spacing w:before="60" w:after="60"/>
              <w:ind w:left="344" w:hanging="344"/>
            </w:pPr>
            <w:sdt>
              <w:sdtPr>
                <w:id w:val="797338472"/>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Internal jugular vein</w:t>
            </w:r>
          </w:p>
          <w:p w14:paraId="382E81DF" w14:textId="0AA7F26D" w:rsidR="006C4415" w:rsidRDefault="005159B5" w:rsidP="001D65FE">
            <w:pPr>
              <w:pStyle w:val="BodyText"/>
              <w:spacing w:before="60" w:after="60"/>
            </w:pPr>
            <w:sdt>
              <w:sdtPr>
                <w:id w:val="2071375098"/>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Femoral vein</w:t>
            </w:r>
          </w:p>
          <w:p w14:paraId="6B3912DD" w14:textId="2C17617C" w:rsidR="006C4415" w:rsidRDefault="005159B5" w:rsidP="001D65FE">
            <w:pPr>
              <w:pStyle w:val="BodyText"/>
              <w:spacing w:before="60" w:after="60"/>
              <w:ind w:left="344" w:hanging="344"/>
            </w:pPr>
            <w:sdt>
              <w:sdtPr>
                <w:id w:val="-1589463079"/>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Internal Jugular Vein</w:t>
            </w:r>
          </w:p>
          <w:p w14:paraId="079593BC" w14:textId="5B4E4A08" w:rsidR="006C4415" w:rsidRDefault="005159B5" w:rsidP="001D65FE">
            <w:pPr>
              <w:pStyle w:val="BodyText"/>
              <w:spacing w:before="60" w:after="60"/>
              <w:ind w:left="335" w:hanging="335"/>
            </w:pPr>
            <w:sdt>
              <w:sdtPr>
                <w:id w:val="-839696145"/>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Subclavian Vein</w:t>
            </w:r>
          </w:p>
          <w:p w14:paraId="1051590F" w14:textId="37B5CC1A" w:rsidR="006C4415" w:rsidRDefault="005159B5" w:rsidP="001D65FE">
            <w:pPr>
              <w:pStyle w:val="BodyText"/>
              <w:spacing w:before="60" w:after="60"/>
            </w:pPr>
            <w:sdt>
              <w:sdtPr>
                <w:id w:val="658738498"/>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Cephalic Vein</w:t>
            </w:r>
          </w:p>
          <w:p w14:paraId="1BD24C0C" w14:textId="16E5E56D" w:rsidR="006C4415" w:rsidRDefault="005159B5" w:rsidP="001D65FE">
            <w:pPr>
              <w:pStyle w:val="BodyText"/>
              <w:spacing w:before="60" w:after="60"/>
            </w:pPr>
            <w:sdt>
              <w:sdtPr>
                <w:id w:val="287632419"/>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Basilic Vein</w:t>
            </w:r>
          </w:p>
          <w:p w14:paraId="6DBC39A7" w14:textId="54BD0E7A" w:rsidR="006C4415" w:rsidRDefault="005159B5" w:rsidP="001D65FE">
            <w:pPr>
              <w:pStyle w:val="BodyText"/>
              <w:spacing w:before="60" w:after="60"/>
            </w:pPr>
            <w:sdt>
              <w:sdtPr>
                <w:id w:val="-2031943172"/>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Dorsum</w:t>
            </w:r>
          </w:p>
          <w:p w14:paraId="68FCBEF1" w14:textId="23CF5C13" w:rsidR="006C4415" w:rsidRDefault="005159B5" w:rsidP="001D65FE">
            <w:pPr>
              <w:pStyle w:val="BodyText"/>
              <w:spacing w:before="60" w:after="60"/>
              <w:ind w:left="335" w:hanging="335"/>
            </w:pPr>
            <w:sdt>
              <w:sdtPr>
                <w:id w:val="2026598039"/>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Antecubital Fossa</w:t>
            </w:r>
          </w:p>
          <w:p w14:paraId="7E66B900" w14:textId="7216C6AA" w:rsidR="006C4415" w:rsidRDefault="005159B5" w:rsidP="001D65FE">
            <w:pPr>
              <w:pStyle w:val="BodyText"/>
              <w:spacing w:before="60" w:after="60"/>
              <w:ind w:left="335" w:hanging="335"/>
            </w:pPr>
            <w:sdt>
              <w:sdtPr>
                <w:id w:val="-1480611380"/>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Other (specify):</w:t>
            </w:r>
          </w:p>
        </w:tc>
      </w:tr>
      <w:tr w:rsidR="006C4415" w14:paraId="075A04F9" w14:textId="77777777" w:rsidTr="006C4415">
        <w:trPr>
          <w:trHeight w:val="516"/>
        </w:trPr>
        <w:tc>
          <w:tcPr>
            <w:tcW w:w="3293" w:type="dxa"/>
          </w:tcPr>
          <w:p w14:paraId="7D6ACDE7" w14:textId="2697B157" w:rsidR="006C4415" w:rsidRDefault="005159B5" w:rsidP="00B8567D">
            <w:pPr>
              <w:pStyle w:val="BodyText"/>
            </w:pPr>
            <w:sdt>
              <w:sdtPr>
                <w:id w:val="1124118312"/>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Anaesthetist</w:t>
            </w:r>
          </w:p>
        </w:tc>
        <w:tc>
          <w:tcPr>
            <w:tcW w:w="3547" w:type="dxa"/>
          </w:tcPr>
          <w:p w14:paraId="056A1E78" w14:textId="5561DE3D" w:rsidR="006C4415" w:rsidRDefault="005159B5" w:rsidP="00B8567D">
            <w:pPr>
              <w:pStyle w:val="BodyText"/>
              <w:ind w:left="347" w:hanging="347"/>
            </w:pPr>
            <w:sdt>
              <w:sdtPr>
                <w:id w:val="465933371"/>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Emergency Department</w:t>
            </w:r>
          </w:p>
        </w:tc>
        <w:tc>
          <w:tcPr>
            <w:tcW w:w="2160" w:type="dxa"/>
            <w:gridSpan w:val="2"/>
            <w:vMerge/>
          </w:tcPr>
          <w:p w14:paraId="531F8555" w14:textId="78D5E0A8" w:rsidR="006C4415" w:rsidRDefault="006C4415" w:rsidP="00B8567D">
            <w:pPr>
              <w:pStyle w:val="BodyText"/>
            </w:pPr>
          </w:p>
        </w:tc>
        <w:tc>
          <w:tcPr>
            <w:tcW w:w="1890" w:type="dxa"/>
            <w:gridSpan w:val="3"/>
            <w:vMerge/>
          </w:tcPr>
          <w:p w14:paraId="7B4B005E" w14:textId="77777777" w:rsidR="006C4415" w:rsidRDefault="006C4415" w:rsidP="00B8567D">
            <w:pPr>
              <w:pStyle w:val="BodyText"/>
            </w:pPr>
          </w:p>
        </w:tc>
      </w:tr>
      <w:tr w:rsidR="006C4415" w14:paraId="1849B13A" w14:textId="77777777" w:rsidTr="001D65FE">
        <w:trPr>
          <w:trHeight w:val="502"/>
        </w:trPr>
        <w:tc>
          <w:tcPr>
            <w:tcW w:w="3293" w:type="dxa"/>
            <w:tcBorders>
              <w:bottom w:val="single" w:sz="4" w:space="0" w:color="auto"/>
            </w:tcBorders>
          </w:tcPr>
          <w:p w14:paraId="4070A401" w14:textId="1D14E1DA" w:rsidR="006C4415" w:rsidRDefault="005159B5" w:rsidP="00B8567D">
            <w:pPr>
              <w:pStyle w:val="BodyText"/>
            </w:pPr>
            <w:sdt>
              <w:sdtPr>
                <w:id w:val="-1887862941"/>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Registrar</w:t>
            </w:r>
          </w:p>
        </w:tc>
        <w:tc>
          <w:tcPr>
            <w:tcW w:w="3547" w:type="dxa"/>
            <w:tcBorders>
              <w:bottom w:val="single" w:sz="4" w:space="0" w:color="auto"/>
            </w:tcBorders>
          </w:tcPr>
          <w:p w14:paraId="3C50946D" w14:textId="6ABA7D4C" w:rsidR="006C4415" w:rsidRDefault="005159B5" w:rsidP="00B8567D">
            <w:pPr>
              <w:pStyle w:val="BodyText"/>
            </w:pPr>
            <w:sdt>
              <w:sdtPr>
                <w:id w:val="-964048305"/>
                <w14:checkbox>
                  <w14:checked w14:val="0"/>
                  <w14:checkedState w14:val="2612" w14:font="MS Gothic"/>
                  <w14:uncheckedState w14:val="2610" w14:font="MS Gothic"/>
                </w14:checkbox>
              </w:sdtPr>
              <w:sdtEndPr/>
              <w:sdtContent>
                <w:r w:rsidR="006C4415">
                  <w:rPr>
                    <w:rFonts w:ascii="MS Gothic" w:eastAsia="MS Gothic" w:hAnsi="MS Gothic" w:hint="eastAsia"/>
                  </w:rPr>
                  <w:t>☐</w:t>
                </w:r>
              </w:sdtContent>
            </w:sdt>
            <w:r w:rsidR="006C4415">
              <w:t xml:space="preserve">  Radiology</w:t>
            </w:r>
          </w:p>
        </w:tc>
        <w:tc>
          <w:tcPr>
            <w:tcW w:w="2160" w:type="dxa"/>
            <w:gridSpan w:val="2"/>
            <w:vMerge w:val="restart"/>
            <w:tcBorders>
              <w:bottom w:val="single" w:sz="4" w:space="0" w:color="auto"/>
            </w:tcBorders>
          </w:tcPr>
          <w:p w14:paraId="67EFF01A" w14:textId="77777777" w:rsidR="001D65FE" w:rsidRDefault="001D65FE" w:rsidP="001D65FE">
            <w:pPr>
              <w:pStyle w:val="BodyText"/>
            </w:pPr>
          </w:p>
          <w:p w14:paraId="7A5B002C" w14:textId="405EA855" w:rsidR="006C4415" w:rsidRDefault="001D65FE" w:rsidP="001D65FE">
            <w:pPr>
              <w:pStyle w:val="BodyText"/>
            </w:pPr>
            <w:r>
              <w:t>__________lumen/s</w:t>
            </w:r>
          </w:p>
        </w:tc>
        <w:tc>
          <w:tcPr>
            <w:tcW w:w="1890" w:type="dxa"/>
            <w:gridSpan w:val="3"/>
            <w:vMerge/>
            <w:tcBorders>
              <w:bottom w:val="single" w:sz="4" w:space="0" w:color="auto"/>
            </w:tcBorders>
          </w:tcPr>
          <w:p w14:paraId="10228B61" w14:textId="77777777" w:rsidR="006C4415" w:rsidRDefault="006C4415" w:rsidP="00B8567D">
            <w:pPr>
              <w:pStyle w:val="BodyText"/>
            </w:pPr>
          </w:p>
        </w:tc>
      </w:tr>
      <w:tr w:rsidR="001D65FE" w14:paraId="6305078E" w14:textId="77777777" w:rsidTr="001D65FE">
        <w:trPr>
          <w:trHeight w:val="608"/>
        </w:trPr>
        <w:tc>
          <w:tcPr>
            <w:tcW w:w="3293" w:type="dxa"/>
          </w:tcPr>
          <w:p w14:paraId="4C3AD0D4" w14:textId="56A9B918" w:rsidR="001D65FE" w:rsidRDefault="005159B5" w:rsidP="00B8567D">
            <w:pPr>
              <w:pStyle w:val="BodyText"/>
            </w:pPr>
            <w:sdt>
              <w:sdtPr>
                <w:id w:val="1114714029"/>
                <w14:checkbox>
                  <w14:checked w14:val="0"/>
                  <w14:checkedState w14:val="2612" w14:font="MS Gothic"/>
                  <w14:uncheckedState w14:val="2610" w14:font="MS Gothic"/>
                </w14:checkbox>
              </w:sdtPr>
              <w:sdtEndPr/>
              <w:sdtContent>
                <w:r w:rsidR="001D65FE">
                  <w:rPr>
                    <w:rFonts w:ascii="MS Gothic" w:eastAsia="MS Gothic" w:hAnsi="MS Gothic" w:hint="eastAsia"/>
                  </w:rPr>
                  <w:t>☐</w:t>
                </w:r>
              </w:sdtContent>
            </w:sdt>
            <w:r w:rsidR="001D65FE">
              <w:t xml:space="preserve">  Resident</w:t>
            </w:r>
          </w:p>
        </w:tc>
        <w:tc>
          <w:tcPr>
            <w:tcW w:w="3547" w:type="dxa"/>
          </w:tcPr>
          <w:p w14:paraId="076A20B2" w14:textId="22E70AF9" w:rsidR="001D65FE" w:rsidRDefault="005159B5" w:rsidP="00B8567D">
            <w:pPr>
              <w:pStyle w:val="BodyText"/>
              <w:ind w:left="340" w:hanging="340"/>
            </w:pPr>
            <w:sdt>
              <w:sdtPr>
                <w:id w:val="1199905594"/>
                <w14:checkbox>
                  <w14:checked w14:val="0"/>
                  <w14:checkedState w14:val="2612" w14:font="MS Gothic"/>
                  <w14:uncheckedState w14:val="2610" w14:font="MS Gothic"/>
                </w14:checkbox>
              </w:sdtPr>
              <w:sdtEndPr/>
              <w:sdtContent>
                <w:r w:rsidR="001D65FE">
                  <w:rPr>
                    <w:rFonts w:ascii="MS Gothic" w:eastAsia="MS Gothic" w:hAnsi="MS Gothic" w:hint="eastAsia"/>
                  </w:rPr>
                  <w:t>☐</w:t>
                </w:r>
              </w:sdtContent>
            </w:sdt>
            <w:r w:rsidR="001D65FE">
              <w:t xml:space="preserve">  Anaesthetic Unit /Operating Theatre</w:t>
            </w:r>
          </w:p>
        </w:tc>
        <w:tc>
          <w:tcPr>
            <w:tcW w:w="2160" w:type="dxa"/>
            <w:gridSpan w:val="2"/>
            <w:vMerge/>
            <w:tcBorders>
              <w:bottom w:val="single" w:sz="4" w:space="0" w:color="auto"/>
            </w:tcBorders>
          </w:tcPr>
          <w:p w14:paraId="0D7511AD" w14:textId="77777777" w:rsidR="001D65FE" w:rsidRDefault="001D65FE" w:rsidP="001D65FE">
            <w:pPr>
              <w:pStyle w:val="BodyText"/>
            </w:pPr>
          </w:p>
        </w:tc>
        <w:tc>
          <w:tcPr>
            <w:tcW w:w="1890" w:type="dxa"/>
            <w:gridSpan w:val="3"/>
            <w:vMerge/>
            <w:tcBorders>
              <w:bottom w:val="single" w:sz="4" w:space="0" w:color="auto"/>
            </w:tcBorders>
          </w:tcPr>
          <w:p w14:paraId="5F33D87C" w14:textId="77777777" w:rsidR="001D65FE" w:rsidRDefault="001D65FE" w:rsidP="00B8567D">
            <w:pPr>
              <w:pStyle w:val="BodyText"/>
            </w:pPr>
          </w:p>
        </w:tc>
      </w:tr>
      <w:tr w:rsidR="001D65FE" w14:paraId="6615264F" w14:textId="77777777" w:rsidTr="001D65FE">
        <w:trPr>
          <w:trHeight w:val="580"/>
        </w:trPr>
        <w:tc>
          <w:tcPr>
            <w:tcW w:w="3293" w:type="dxa"/>
            <w:tcBorders>
              <w:bottom w:val="single" w:sz="4" w:space="0" w:color="auto"/>
            </w:tcBorders>
          </w:tcPr>
          <w:p w14:paraId="5B23115E" w14:textId="02C8439E" w:rsidR="001D65FE" w:rsidRDefault="005159B5" w:rsidP="00747F03">
            <w:pPr>
              <w:pStyle w:val="BodyText"/>
            </w:pPr>
            <w:sdt>
              <w:sdtPr>
                <w:id w:val="-905222597"/>
                <w14:checkbox>
                  <w14:checked w14:val="0"/>
                  <w14:checkedState w14:val="2612" w14:font="MS Gothic"/>
                  <w14:uncheckedState w14:val="2610" w14:font="MS Gothic"/>
                </w14:checkbox>
              </w:sdtPr>
              <w:sdtEndPr/>
              <w:sdtContent>
                <w:r w:rsidR="001D65FE">
                  <w:rPr>
                    <w:rFonts w:ascii="MS Gothic" w:eastAsia="MS Gothic" w:hAnsi="MS Gothic" w:hint="eastAsia"/>
                  </w:rPr>
                  <w:t>☐</w:t>
                </w:r>
              </w:sdtContent>
            </w:sdt>
            <w:r w:rsidR="001D65FE">
              <w:t xml:space="preserve">  Medical Student</w:t>
            </w:r>
          </w:p>
        </w:tc>
        <w:tc>
          <w:tcPr>
            <w:tcW w:w="3547" w:type="dxa"/>
            <w:tcBorders>
              <w:bottom w:val="single" w:sz="4" w:space="0" w:color="auto"/>
            </w:tcBorders>
          </w:tcPr>
          <w:p w14:paraId="6B5E3556" w14:textId="2C75D9AF" w:rsidR="001D65FE" w:rsidRDefault="005159B5" w:rsidP="00747F03">
            <w:pPr>
              <w:pStyle w:val="BodyText"/>
            </w:pPr>
            <w:sdt>
              <w:sdtPr>
                <w:id w:val="1449121078"/>
                <w14:checkbox>
                  <w14:checked w14:val="0"/>
                  <w14:checkedState w14:val="2612" w14:font="MS Gothic"/>
                  <w14:uncheckedState w14:val="2610" w14:font="MS Gothic"/>
                </w14:checkbox>
              </w:sdtPr>
              <w:sdtEndPr/>
              <w:sdtContent>
                <w:r w:rsidR="001D65FE">
                  <w:rPr>
                    <w:rFonts w:ascii="MS Gothic" w:eastAsia="MS Gothic" w:hAnsi="MS Gothic" w:hint="eastAsia"/>
                  </w:rPr>
                  <w:t>☐</w:t>
                </w:r>
              </w:sdtContent>
            </w:sdt>
            <w:r w:rsidR="001D65FE">
              <w:t xml:space="preserve">  Other hospital</w:t>
            </w:r>
          </w:p>
        </w:tc>
        <w:tc>
          <w:tcPr>
            <w:tcW w:w="2160" w:type="dxa"/>
            <w:gridSpan w:val="2"/>
            <w:vMerge w:val="restart"/>
            <w:tcBorders>
              <w:bottom w:val="single" w:sz="4" w:space="0" w:color="auto"/>
            </w:tcBorders>
          </w:tcPr>
          <w:p w14:paraId="18311D8E" w14:textId="0FEE0EE0" w:rsidR="001D65FE" w:rsidRDefault="005159B5" w:rsidP="00B8567D">
            <w:pPr>
              <w:pStyle w:val="BodyText"/>
            </w:pPr>
            <w:sdt>
              <w:sdtPr>
                <w:id w:val="1709752772"/>
                <w14:checkbox>
                  <w14:checked w14:val="0"/>
                  <w14:checkedState w14:val="2612" w14:font="MS Gothic"/>
                  <w14:uncheckedState w14:val="2610" w14:font="MS Gothic"/>
                </w14:checkbox>
              </w:sdtPr>
              <w:sdtEndPr/>
              <w:sdtContent>
                <w:r w:rsidR="001D65FE">
                  <w:rPr>
                    <w:rFonts w:ascii="MS Gothic" w:eastAsia="MS Gothic" w:hAnsi="MS Gothic" w:hint="eastAsia"/>
                  </w:rPr>
                  <w:t>☐</w:t>
                </w:r>
              </w:sdtContent>
            </w:sdt>
            <w:r w:rsidR="001D65FE">
              <w:t xml:space="preserve">  Antimicrobial?</w:t>
            </w:r>
          </w:p>
        </w:tc>
        <w:tc>
          <w:tcPr>
            <w:tcW w:w="1890" w:type="dxa"/>
            <w:gridSpan w:val="3"/>
            <w:vMerge/>
            <w:tcBorders>
              <w:bottom w:val="single" w:sz="4" w:space="0" w:color="auto"/>
            </w:tcBorders>
          </w:tcPr>
          <w:p w14:paraId="2F47870F" w14:textId="77777777" w:rsidR="001D65FE" w:rsidRDefault="001D65FE" w:rsidP="00B8567D">
            <w:pPr>
              <w:pStyle w:val="BodyText"/>
            </w:pPr>
          </w:p>
        </w:tc>
      </w:tr>
      <w:tr w:rsidR="001D65FE" w14:paraId="4A3D1F10" w14:textId="77777777" w:rsidTr="001D65FE">
        <w:trPr>
          <w:trHeight w:val="2411"/>
        </w:trPr>
        <w:tc>
          <w:tcPr>
            <w:tcW w:w="3293" w:type="dxa"/>
          </w:tcPr>
          <w:p w14:paraId="79A06C37" w14:textId="77777777" w:rsidR="001D65FE" w:rsidRDefault="005159B5" w:rsidP="00B8567D">
            <w:pPr>
              <w:pStyle w:val="BodyText"/>
            </w:pPr>
            <w:sdt>
              <w:sdtPr>
                <w:id w:val="1753311228"/>
                <w14:checkbox>
                  <w14:checked w14:val="0"/>
                  <w14:checkedState w14:val="2612" w14:font="MS Gothic"/>
                  <w14:uncheckedState w14:val="2610" w14:font="MS Gothic"/>
                </w14:checkbox>
              </w:sdtPr>
              <w:sdtEndPr/>
              <w:sdtContent>
                <w:r w:rsidR="001D65FE">
                  <w:rPr>
                    <w:rFonts w:ascii="MS Gothic" w:eastAsia="MS Gothic" w:hAnsi="MS Gothic" w:hint="eastAsia"/>
                  </w:rPr>
                  <w:t>☐</w:t>
                </w:r>
              </w:sdtContent>
            </w:sdt>
            <w:r w:rsidR="001D65FE">
              <w:t xml:space="preserve">  Registered Nurse</w:t>
            </w:r>
          </w:p>
          <w:p w14:paraId="1A6460A3" w14:textId="77777777" w:rsidR="001D65FE" w:rsidRDefault="001D65FE" w:rsidP="00B8567D">
            <w:pPr>
              <w:pStyle w:val="BodyText"/>
            </w:pPr>
          </w:p>
          <w:p w14:paraId="17DBFB00" w14:textId="77777777" w:rsidR="001D65FE" w:rsidRDefault="001D65FE" w:rsidP="00B8567D">
            <w:pPr>
              <w:pStyle w:val="BodyText"/>
            </w:pPr>
          </w:p>
          <w:p w14:paraId="3D158B65" w14:textId="77777777" w:rsidR="001D65FE" w:rsidRDefault="001D65FE" w:rsidP="00B8567D">
            <w:pPr>
              <w:pStyle w:val="BodyText"/>
              <w:tabs>
                <w:tab w:val="left" w:pos="231"/>
                <w:tab w:val="left" w:pos="353"/>
                <w:tab w:val="left" w:pos="448"/>
                <w:tab w:val="left" w:pos="584"/>
              </w:tabs>
            </w:pPr>
          </w:p>
        </w:tc>
        <w:tc>
          <w:tcPr>
            <w:tcW w:w="3547" w:type="dxa"/>
          </w:tcPr>
          <w:p w14:paraId="6840AD9A" w14:textId="77777777" w:rsidR="001D65FE" w:rsidRDefault="005159B5" w:rsidP="00B8567D">
            <w:pPr>
              <w:pStyle w:val="BodyText"/>
              <w:ind w:left="340" w:hanging="340"/>
            </w:pPr>
            <w:sdt>
              <w:sdtPr>
                <w:id w:val="600077657"/>
                <w14:checkbox>
                  <w14:checked w14:val="0"/>
                  <w14:checkedState w14:val="2612" w14:font="MS Gothic"/>
                  <w14:uncheckedState w14:val="2610" w14:font="MS Gothic"/>
                </w14:checkbox>
              </w:sdtPr>
              <w:sdtEndPr/>
              <w:sdtContent>
                <w:r w:rsidR="001D65FE">
                  <w:rPr>
                    <w:rFonts w:ascii="MS Gothic" w:eastAsia="MS Gothic" w:hAnsi="MS Gothic" w:hint="eastAsia"/>
                  </w:rPr>
                  <w:t>☐</w:t>
                </w:r>
              </w:sdtContent>
            </w:sdt>
            <w:r w:rsidR="001D65FE">
              <w:t xml:space="preserve">  Emergency Services</w:t>
            </w:r>
          </w:p>
          <w:p w14:paraId="1450D9AB" w14:textId="77777777" w:rsidR="001D65FE" w:rsidRDefault="001D65FE" w:rsidP="00B8567D">
            <w:pPr>
              <w:pStyle w:val="BodyText"/>
              <w:ind w:left="340" w:hanging="340"/>
            </w:pPr>
          </w:p>
          <w:p w14:paraId="7CBB3E19" w14:textId="77777777" w:rsidR="001D65FE" w:rsidRDefault="001D65FE" w:rsidP="00B8567D">
            <w:pPr>
              <w:pStyle w:val="BodyText"/>
              <w:ind w:left="340" w:hanging="340"/>
            </w:pPr>
          </w:p>
          <w:p w14:paraId="7E917F33" w14:textId="77777777" w:rsidR="001D65FE" w:rsidRDefault="001D65FE" w:rsidP="00B8567D">
            <w:pPr>
              <w:pStyle w:val="BodyText"/>
            </w:pPr>
          </w:p>
        </w:tc>
        <w:tc>
          <w:tcPr>
            <w:tcW w:w="2160" w:type="dxa"/>
            <w:gridSpan w:val="2"/>
            <w:vMerge/>
            <w:tcBorders>
              <w:bottom w:val="single" w:sz="4" w:space="0" w:color="auto"/>
            </w:tcBorders>
          </w:tcPr>
          <w:p w14:paraId="2EC9BBBE" w14:textId="77777777" w:rsidR="001D65FE" w:rsidRDefault="001D65FE" w:rsidP="00B8567D">
            <w:pPr>
              <w:pStyle w:val="BodyText"/>
            </w:pPr>
          </w:p>
        </w:tc>
        <w:tc>
          <w:tcPr>
            <w:tcW w:w="1890" w:type="dxa"/>
            <w:gridSpan w:val="3"/>
            <w:vMerge/>
            <w:tcBorders>
              <w:bottom w:val="single" w:sz="4" w:space="0" w:color="auto"/>
            </w:tcBorders>
          </w:tcPr>
          <w:p w14:paraId="0C343760" w14:textId="77777777" w:rsidR="001D65FE" w:rsidRDefault="001D65FE" w:rsidP="00B8567D">
            <w:pPr>
              <w:pStyle w:val="BodyText"/>
            </w:pPr>
          </w:p>
        </w:tc>
      </w:tr>
      <w:tr w:rsidR="00C623FB" w14:paraId="7C371E5F" w14:textId="77777777" w:rsidTr="006C4415">
        <w:trPr>
          <w:trHeight w:val="502"/>
        </w:trPr>
        <w:tc>
          <w:tcPr>
            <w:tcW w:w="3293" w:type="dxa"/>
          </w:tcPr>
          <w:p w14:paraId="3DFB1218" w14:textId="63FEBE93" w:rsidR="00C623FB" w:rsidRDefault="005159B5" w:rsidP="00B8567D">
            <w:pPr>
              <w:pStyle w:val="BodyText"/>
              <w:tabs>
                <w:tab w:val="left" w:pos="231"/>
                <w:tab w:val="left" w:pos="353"/>
                <w:tab w:val="left" w:pos="448"/>
                <w:tab w:val="left" w:pos="584"/>
              </w:tabs>
            </w:pPr>
            <w:sdt>
              <w:sdtPr>
                <w:id w:val="-850795617"/>
                <w14:checkbox>
                  <w14:checked w14:val="0"/>
                  <w14:checkedState w14:val="2612" w14:font="MS Gothic"/>
                  <w14:uncheckedState w14:val="2610" w14:font="MS Gothic"/>
                </w14:checkbox>
              </w:sdtPr>
              <w:sdtEndPr/>
              <w:sdtContent>
                <w:r w:rsidR="008B64D7">
                  <w:rPr>
                    <w:rFonts w:ascii="MS Gothic" w:eastAsia="MS Gothic" w:hAnsi="MS Gothic" w:hint="eastAsia"/>
                  </w:rPr>
                  <w:t>☐</w:t>
                </w:r>
              </w:sdtContent>
            </w:sdt>
            <w:r w:rsidR="008B64D7">
              <w:t xml:space="preserve">  </w:t>
            </w:r>
            <w:r w:rsidR="00C623FB">
              <w:t>IV Service</w:t>
            </w:r>
          </w:p>
        </w:tc>
        <w:tc>
          <w:tcPr>
            <w:tcW w:w="3547" w:type="dxa"/>
          </w:tcPr>
          <w:p w14:paraId="63F206E5" w14:textId="6189B5C9" w:rsidR="00C623FB" w:rsidRDefault="005159B5" w:rsidP="00B8567D">
            <w:pPr>
              <w:pStyle w:val="BodyText"/>
            </w:pPr>
            <w:sdt>
              <w:sdtPr>
                <w:id w:val="-195701050"/>
                <w14:checkbox>
                  <w14:checked w14:val="0"/>
                  <w14:checkedState w14:val="2612" w14:font="MS Gothic"/>
                  <w14:uncheckedState w14:val="2610" w14:font="MS Gothic"/>
                </w14:checkbox>
              </w:sdtPr>
              <w:sdtEndPr/>
              <w:sdtContent>
                <w:r w:rsidR="008B64D7">
                  <w:rPr>
                    <w:rFonts w:ascii="MS Gothic" w:eastAsia="MS Gothic" w:hAnsi="MS Gothic" w:hint="eastAsia"/>
                  </w:rPr>
                  <w:t>☐</w:t>
                </w:r>
              </w:sdtContent>
            </w:sdt>
            <w:r w:rsidR="008B64D7">
              <w:t xml:space="preserve">  </w:t>
            </w:r>
            <w:r w:rsidR="00C623FB">
              <w:t>Other</w:t>
            </w:r>
          </w:p>
        </w:tc>
        <w:tc>
          <w:tcPr>
            <w:tcW w:w="2160" w:type="dxa"/>
            <w:gridSpan w:val="2"/>
          </w:tcPr>
          <w:p w14:paraId="56FF79C6" w14:textId="77777777" w:rsidR="00C623FB" w:rsidRDefault="00C623FB" w:rsidP="00B8567D">
            <w:pPr>
              <w:pStyle w:val="BodyText"/>
            </w:pPr>
          </w:p>
        </w:tc>
        <w:tc>
          <w:tcPr>
            <w:tcW w:w="1890" w:type="dxa"/>
            <w:gridSpan w:val="3"/>
            <w:tcBorders>
              <w:bottom w:val="single" w:sz="4" w:space="0" w:color="auto"/>
            </w:tcBorders>
          </w:tcPr>
          <w:p w14:paraId="21EF8111" w14:textId="77777777" w:rsidR="00C623FB" w:rsidRDefault="00C623FB" w:rsidP="00B8567D">
            <w:pPr>
              <w:pStyle w:val="BodyText"/>
            </w:pPr>
          </w:p>
        </w:tc>
      </w:tr>
      <w:tr w:rsidR="007001AD" w14:paraId="41DBB15A" w14:textId="77777777" w:rsidTr="007C13B3">
        <w:trPr>
          <w:trHeight w:val="424"/>
        </w:trPr>
        <w:tc>
          <w:tcPr>
            <w:tcW w:w="3293" w:type="dxa"/>
          </w:tcPr>
          <w:p w14:paraId="510BBB69" w14:textId="3E915B32" w:rsidR="007001AD" w:rsidRDefault="005159B5" w:rsidP="00B8567D">
            <w:pPr>
              <w:pStyle w:val="BodyText"/>
              <w:tabs>
                <w:tab w:val="left" w:pos="231"/>
                <w:tab w:val="left" w:pos="353"/>
                <w:tab w:val="left" w:pos="448"/>
                <w:tab w:val="left" w:pos="584"/>
              </w:tabs>
            </w:pPr>
            <w:sdt>
              <w:sdtPr>
                <w:id w:val="1630748685"/>
                <w14:checkbox>
                  <w14:checked w14:val="0"/>
                  <w14:checkedState w14:val="2612" w14:font="MS Gothic"/>
                  <w14:uncheckedState w14:val="2610" w14:font="MS Gothic"/>
                </w14:checkbox>
              </w:sdtPr>
              <w:sdtEndPr/>
              <w:sdtContent>
                <w:r w:rsidR="008B64D7">
                  <w:rPr>
                    <w:rFonts w:ascii="MS Gothic" w:eastAsia="MS Gothic" w:hAnsi="MS Gothic" w:hint="eastAsia"/>
                  </w:rPr>
                  <w:t>☐</w:t>
                </w:r>
              </w:sdtContent>
            </w:sdt>
            <w:r w:rsidR="008B64D7">
              <w:t xml:space="preserve">   </w:t>
            </w:r>
            <w:r w:rsidR="007001AD">
              <w:t>Other</w:t>
            </w:r>
          </w:p>
        </w:tc>
        <w:tc>
          <w:tcPr>
            <w:tcW w:w="7597" w:type="dxa"/>
            <w:gridSpan w:val="6"/>
          </w:tcPr>
          <w:p w14:paraId="27DC19EF" w14:textId="77777777" w:rsidR="007001AD" w:rsidRDefault="007001AD" w:rsidP="00B8567D">
            <w:pPr>
              <w:pStyle w:val="BodyText"/>
            </w:pPr>
          </w:p>
        </w:tc>
      </w:tr>
      <w:tr w:rsidR="00B8567D" w14:paraId="3ED73DC3" w14:textId="77777777" w:rsidTr="007C13B3">
        <w:trPr>
          <w:trHeight w:val="557"/>
        </w:trPr>
        <w:tc>
          <w:tcPr>
            <w:tcW w:w="10890" w:type="dxa"/>
            <w:gridSpan w:val="7"/>
            <w:shd w:val="clear" w:color="auto" w:fill="0F5CA2" w:themeFill="accent1"/>
          </w:tcPr>
          <w:p w14:paraId="2C4DC6FA" w14:textId="30B29736" w:rsidR="00B8567D" w:rsidRPr="0055179F" w:rsidRDefault="0055179F" w:rsidP="0055179F">
            <w:pPr>
              <w:pStyle w:val="BodyText"/>
              <w:rPr>
                <w:color w:val="F1F2F2" w:themeColor="background2"/>
              </w:rPr>
            </w:pPr>
            <w:r w:rsidRPr="0055179F">
              <w:rPr>
                <w:color w:val="F1F2F2" w:themeColor="background2"/>
              </w:rPr>
              <w:t>SECTION B – GREATER THAN 48 HOURS AFTER INSERTION</w:t>
            </w:r>
          </w:p>
        </w:tc>
      </w:tr>
      <w:tr w:rsidR="0055179F" w14:paraId="418D3F67" w14:textId="644080B6" w:rsidTr="007C13B3">
        <w:trPr>
          <w:trHeight w:val="507"/>
        </w:trPr>
        <w:tc>
          <w:tcPr>
            <w:tcW w:w="8190" w:type="dxa"/>
            <w:gridSpan w:val="3"/>
            <w:shd w:val="clear" w:color="auto" w:fill="81B2DE" w:themeFill="text2" w:themeFillTint="66"/>
          </w:tcPr>
          <w:p w14:paraId="1365C041" w14:textId="25C63F6D" w:rsidR="0055179F" w:rsidRPr="0055179F" w:rsidRDefault="0055179F" w:rsidP="0055179F">
            <w:pPr>
              <w:pStyle w:val="BodyText"/>
              <w:rPr>
                <w:rFonts w:ascii="Fira Sans SemiBold" w:hAnsi="Fira Sans SemiBold"/>
              </w:rPr>
            </w:pPr>
            <w:r w:rsidRPr="0055179F">
              <w:rPr>
                <w:rFonts w:ascii="Fira Sans SemiBold" w:hAnsi="Fira Sans SemiBold"/>
              </w:rPr>
              <w:t>MAINTENANCE</w:t>
            </w:r>
          </w:p>
        </w:tc>
        <w:tc>
          <w:tcPr>
            <w:tcW w:w="810" w:type="dxa"/>
            <w:shd w:val="clear" w:color="auto" w:fill="81B2DE" w:themeFill="text2" w:themeFillTint="66"/>
          </w:tcPr>
          <w:p w14:paraId="54B6AAE3" w14:textId="3E9E1F43" w:rsidR="0055179F" w:rsidRPr="0055179F" w:rsidRDefault="00063EA7" w:rsidP="00063EA7">
            <w:pPr>
              <w:pStyle w:val="BodyText"/>
              <w:jc w:val="center"/>
              <w:rPr>
                <w:rFonts w:ascii="Fira Sans SemiBold" w:hAnsi="Fira Sans SemiBold"/>
              </w:rPr>
            </w:pPr>
            <w:r>
              <w:rPr>
                <w:rFonts w:ascii="Fira Sans SemiBold" w:hAnsi="Fira Sans SemiBold"/>
              </w:rPr>
              <w:t>YES</w:t>
            </w:r>
          </w:p>
        </w:tc>
        <w:tc>
          <w:tcPr>
            <w:tcW w:w="630" w:type="dxa"/>
            <w:shd w:val="clear" w:color="auto" w:fill="81B2DE" w:themeFill="text2" w:themeFillTint="66"/>
          </w:tcPr>
          <w:p w14:paraId="0B0F242D" w14:textId="5F5D0BDB" w:rsidR="0055179F" w:rsidRPr="0055179F" w:rsidRDefault="00063EA7" w:rsidP="00063EA7">
            <w:pPr>
              <w:pStyle w:val="BodyText"/>
              <w:jc w:val="center"/>
              <w:rPr>
                <w:rFonts w:ascii="Fira Sans SemiBold" w:hAnsi="Fira Sans SemiBold"/>
              </w:rPr>
            </w:pPr>
            <w:r>
              <w:rPr>
                <w:rFonts w:ascii="Fira Sans SemiBold" w:hAnsi="Fira Sans SemiBold"/>
              </w:rPr>
              <w:t>NO</w:t>
            </w:r>
          </w:p>
        </w:tc>
        <w:tc>
          <w:tcPr>
            <w:tcW w:w="1260" w:type="dxa"/>
            <w:gridSpan w:val="2"/>
            <w:shd w:val="clear" w:color="auto" w:fill="81B2DE" w:themeFill="text2" w:themeFillTint="66"/>
          </w:tcPr>
          <w:p w14:paraId="1996C041" w14:textId="70D5A85C" w:rsidR="0055179F" w:rsidRPr="0055179F" w:rsidRDefault="00063EA7" w:rsidP="00063EA7">
            <w:pPr>
              <w:pStyle w:val="BodyText"/>
              <w:jc w:val="center"/>
              <w:rPr>
                <w:rFonts w:ascii="Fira Sans SemiBold" w:hAnsi="Fira Sans SemiBold"/>
              </w:rPr>
            </w:pPr>
            <w:r>
              <w:rPr>
                <w:rFonts w:ascii="Fira Sans SemiBold" w:hAnsi="Fira Sans SemiBold"/>
              </w:rPr>
              <w:t>N/A</w:t>
            </w:r>
          </w:p>
        </w:tc>
      </w:tr>
      <w:tr w:rsidR="0055179F" w14:paraId="20C83A8E" w14:textId="7CF69B7E" w:rsidTr="007C13B3">
        <w:trPr>
          <w:trHeight w:val="488"/>
        </w:trPr>
        <w:tc>
          <w:tcPr>
            <w:tcW w:w="8190" w:type="dxa"/>
            <w:gridSpan w:val="3"/>
          </w:tcPr>
          <w:p w14:paraId="3C40E61A" w14:textId="0155E2F6" w:rsidR="0055179F" w:rsidRDefault="0055179F" w:rsidP="0055179F">
            <w:pPr>
              <w:pStyle w:val="BodyText"/>
            </w:pPr>
            <w:r w:rsidRPr="0055179F">
              <w:t>Has the catheter site been inspected each shift and the condition documented?</w:t>
            </w:r>
          </w:p>
        </w:tc>
        <w:tc>
          <w:tcPr>
            <w:tcW w:w="810" w:type="dxa"/>
          </w:tcPr>
          <w:p w14:paraId="7FB6BDEF" w14:textId="77777777" w:rsidR="0055179F" w:rsidRDefault="0055179F" w:rsidP="00B8567D">
            <w:pPr>
              <w:pStyle w:val="BodyText"/>
              <w:ind w:left="933"/>
            </w:pPr>
          </w:p>
        </w:tc>
        <w:tc>
          <w:tcPr>
            <w:tcW w:w="630" w:type="dxa"/>
          </w:tcPr>
          <w:p w14:paraId="6730EFC1" w14:textId="7C12FE67" w:rsidR="0055179F" w:rsidRDefault="0055179F" w:rsidP="00B8567D">
            <w:pPr>
              <w:pStyle w:val="BodyText"/>
              <w:ind w:left="933"/>
            </w:pPr>
          </w:p>
        </w:tc>
        <w:tc>
          <w:tcPr>
            <w:tcW w:w="1260" w:type="dxa"/>
            <w:gridSpan w:val="2"/>
          </w:tcPr>
          <w:p w14:paraId="1BB839BF" w14:textId="77777777" w:rsidR="0055179F" w:rsidRDefault="0055179F" w:rsidP="00B8567D">
            <w:pPr>
              <w:pStyle w:val="BodyText"/>
              <w:ind w:left="933"/>
            </w:pPr>
          </w:p>
        </w:tc>
      </w:tr>
      <w:tr w:rsidR="0055179F" w14:paraId="265D1E64" w14:textId="25817881" w:rsidTr="007C13B3">
        <w:trPr>
          <w:trHeight w:val="488"/>
        </w:trPr>
        <w:tc>
          <w:tcPr>
            <w:tcW w:w="8190" w:type="dxa"/>
            <w:gridSpan w:val="3"/>
          </w:tcPr>
          <w:p w14:paraId="59D047BE" w14:textId="4039ACB4" w:rsidR="0055179F" w:rsidRDefault="0055179F" w:rsidP="0055179F">
            <w:pPr>
              <w:pStyle w:val="BodyText"/>
            </w:pPr>
            <w:r w:rsidRPr="0055179F">
              <w:t xml:space="preserve">Was the need for the device reviewed </w:t>
            </w:r>
            <w:proofErr w:type="gramStart"/>
            <w:r w:rsidRPr="0055179F">
              <w:t>on a daily basis</w:t>
            </w:r>
            <w:proofErr w:type="gramEnd"/>
            <w:r w:rsidRPr="0055179F">
              <w:t>?</w:t>
            </w:r>
          </w:p>
        </w:tc>
        <w:tc>
          <w:tcPr>
            <w:tcW w:w="810" w:type="dxa"/>
          </w:tcPr>
          <w:p w14:paraId="79D076E1" w14:textId="77777777" w:rsidR="0055179F" w:rsidRDefault="0055179F" w:rsidP="00B8567D">
            <w:pPr>
              <w:pStyle w:val="BodyText"/>
              <w:ind w:left="933"/>
            </w:pPr>
          </w:p>
        </w:tc>
        <w:tc>
          <w:tcPr>
            <w:tcW w:w="630" w:type="dxa"/>
          </w:tcPr>
          <w:p w14:paraId="4B835B7E" w14:textId="0CDF9E81" w:rsidR="0055179F" w:rsidRDefault="0055179F" w:rsidP="00B8567D">
            <w:pPr>
              <w:pStyle w:val="BodyText"/>
              <w:ind w:left="933"/>
            </w:pPr>
          </w:p>
        </w:tc>
        <w:tc>
          <w:tcPr>
            <w:tcW w:w="1260" w:type="dxa"/>
            <w:gridSpan w:val="2"/>
          </w:tcPr>
          <w:p w14:paraId="72F8C2CE" w14:textId="77777777" w:rsidR="0055179F" w:rsidRDefault="0055179F" w:rsidP="00B8567D">
            <w:pPr>
              <w:pStyle w:val="BodyText"/>
              <w:ind w:left="933"/>
            </w:pPr>
          </w:p>
        </w:tc>
      </w:tr>
      <w:tr w:rsidR="0055179F" w14:paraId="6590AA55" w14:textId="13C322FE" w:rsidTr="007C13B3">
        <w:trPr>
          <w:trHeight w:val="488"/>
        </w:trPr>
        <w:tc>
          <w:tcPr>
            <w:tcW w:w="8190" w:type="dxa"/>
            <w:gridSpan w:val="3"/>
          </w:tcPr>
          <w:p w14:paraId="50CD0DA1" w14:textId="2819AE2F" w:rsidR="0055179F" w:rsidRDefault="0055179F" w:rsidP="0055179F">
            <w:pPr>
              <w:pStyle w:val="BodyText"/>
            </w:pPr>
            <w:r>
              <w:t>Was post infusion phlebitis observed?</w:t>
            </w:r>
          </w:p>
        </w:tc>
        <w:tc>
          <w:tcPr>
            <w:tcW w:w="810" w:type="dxa"/>
          </w:tcPr>
          <w:p w14:paraId="3DD1E422" w14:textId="77777777" w:rsidR="0055179F" w:rsidRDefault="0055179F" w:rsidP="00B8567D">
            <w:pPr>
              <w:pStyle w:val="BodyText"/>
              <w:ind w:left="933"/>
            </w:pPr>
          </w:p>
        </w:tc>
        <w:tc>
          <w:tcPr>
            <w:tcW w:w="630" w:type="dxa"/>
          </w:tcPr>
          <w:p w14:paraId="00515FA2" w14:textId="080B8AA0" w:rsidR="0055179F" w:rsidRDefault="0055179F" w:rsidP="00B8567D">
            <w:pPr>
              <w:pStyle w:val="BodyText"/>
              <w:ind w:left="933"/>
            </w:pPr>
          </w:p>
        </w:tc>
        <w:tc>
          <w:tcPr>
            <w:tcW w:w="1260" w:type="dxa"/>
            <w:gridSpan w:val="2"/>
          </w:tcPr>
          <w:p w14:paraId="40223667" w14:textId="77777777" w:rsidR="0055179F" w:rsidRDefault="0055179F" w:rsidP="00B8567D">
            <w:pPr>
              <w:pStyle w:val="BodyText"/>
              <w:ind w:left="933"/>
            </w:pPr>
          </w:p>
        </w:tc>
      </w:tr>
      <w:tr w:rsidR="0055179F" w14:paraId="1090C3FD" w14:textId="2B434FC2" w:rsidTr="007C13B3">
        <w:trPr>
          <w:trHeight w:val="488"/>
        </w:trPr>
        <w:tc>
          <w:tcPr>
            <w:tcW w:w="8190" w:type="dxa"/>
            <w:gridSpan w:val="3"/>
          </w:tcPr>
          <w:p w14:paraId="2780BAF3" w14:textId="2A3E1335" w:rsidR="0055179F" w:rsidRDefault="0055179F" w:rsidP="0055179F">
            <w:pPr>
              <w:pStyle w:val="BodyText"/>
            </w:pPr>
            <w:r>
              <w:t>Are continuous infusions routinely disconnected? If so Why?</w:t>
            </w:r>
          </w:p>
        </w:tc>
        <w:tc>
          <w:tcPr>
            <w:tcW w:w="810" w:type="dxa"/>
          </w:tcPr>
          <w:p w14:paraId="044E52C3" w14:textId="77777777" w:rsidR="0055179F" w:rsidRDefault="0055179F" w:rsidP="00B8567D">
            <w:pPr>
              <w:pStyle w:val="BodyText"/>
              <w:ind w:left="933"/>
            </w:pPr>
          </w:p>
        </w:tc>
        <w:tc>
          <w:tcPr>
            <w:tcW w:w="630" w:type="dxa"/>
          </w:tcPr>
          <w:p w14:paraId="24F60CDD" w14:textId="7FFF6839" w:rsidR="0055179F" w:rsidRDefault="0055179F" w:rsidP="00B8567D">
            <w:pPr>
              <w:pStyle w:val="BodyText"/>
              <w:ind w:left="933"/>
            </w:pPr>
          </w:p>
        </w:tc>
        <w:tc>
          <w:tcPr>
            <w:tcW w:w="1260" w:type="dxa"/>
            <w:gridSpan w:val="2"/>
          </w:tcPr>
          <w:p w14:paraId="5057919A" w14:textId="77777777" w:rsidR="0055179F" w:rsidRDefault="0055179F" w:rsidP="00B8567D">
            <w:pPr>
              <w:pStyle w:val="BodyText"/>
              <w:ind w:left="933"/>
            </w:pPr>
          </w:p>
        </w:tc>
      </w:tr>
      <w:tr w:rsidR="0055179F" w14:paraId="14DF091F" w14:textId="306E1B1E" w:rsidTr="007C13B3">
        <w:trPr>
          <w:trHeight w:val="488"/>
        </w:trPr>
        <w:tc>
          <w:tcPr>
            <w:tcW w:w="8190" w:type="dxa"/>
            <w:gridSpan w:val="3"/>
          </w:tcPr>
          <w:p w14:paraId="5D72B6E3" w14:textId="7A381666" w:rsidR="0055179F" w:rsidRDefault="0042265C" w:rsidP="0042265C">
            <w:pPr>
              <w:pStyle w:val="BodyText"/>
            </w:pPr>
            <w:r>
              <w:t>Are administration sets discarded when disconnected?</w:t>
            </w:r>
          </w:p>
        </w:tc>
        <w:tc>
          <w:tcPr>
            <w:tcW w:w="810" w:type="dxa"/>
          </w:tcPr>
          <w:p w14:paraId="4C203399" w14:textId="77777777" w:rsidR="0055179F" w:rsidRDefault="0055179F" w:rsidP="00B8567D">
            <w:pPr>
              <w:pStyle w:val="BodyText"/>
              <w:ind w:left="933"/>
            </w:pPr>
          </w:p>
        </w:tc>
        <w:tc>
          <w:tcPr>
            <w:tcW w:w="630" w:type="dxa"/>
          </w:tcPr>
          <w:p w14:paraId="75597AC3" w14:textId="57F42444" w:rsidR="0055179F" w:rsidRDefault="0055179F" w:rsidP="00B8567D">
            <w:pPr>
              <w:pStyle w:val="BodyText"/>
              <w:ind w:left="933"/>
            </w:pPr>
          </w:p>
        </w:tc>
        <w:tc>
          <w:tcPr>
            <w:tcW w:w="1260" w:type="dxa"/>
            <w:gridSpan w:val="2"/>
          </w:tcPr>
          <w:p w14:paraId="0B130AE5" w14:textId="77777777" w:rsidR="0055179F" w:rsidRDefault="0055179F" w:rsidP="00B8567D">
            <w:pPr>
              <w:pStyle w:val="BodyText"/>
              <w:ind w:left="933"/>
            </w:pPr>
          </w:p>
        </w:tc>
      </w:tr>
      <w:tr w:rsidR="00175AF6" w14:paraId="43E8ABCC" w14:textId="4CF1EBFF" w:rsidTr="007C13B3">
        <w:trPr>
          <w:trHeight w:val="488"/>
        </w:trPr>
        <w:tc>
          <w:tcPr>
            <w:tcW w:w="8190" w:type="dxa"/>
            <w:gridSpan w:val="3"/>
          </w:tcPr>
          <w:p w14:paraId="4668F76B" w14:textId="1F77AF0B" w:rsidR="00175AF6" w:rsidRDefault="00175AF6" w:rsidP="0042265C">
            <w:pPr>
              <w:pStyle w:val="BodyText"/>
            </w:pPr>
            <w:r>
              <w:t>If TPN is being administered, is one lumen used exclusively for that use?</w:t>
            </w:r>
          </w:p>
        </w:tc>
        <w:tc>
          <w:tcPr>
            <w:tcW w:w="810" w:type="dxa"/>
          </w:tcPr>
          <w:p w14:paraId="58670408" w14:textId="77777777" w:rsidR="00175AF6" w:rsidRDefault="00175AF6" w:rsidP="00175AF6">
            <w:pPr>
              <w:pStyle w:val="BodyText"/>
            </w:pPr>
          </w:p>
        </w:tc>
        <w:tc>
          <w:tcPr>
            <w:tcW w:w="630" w:type="dxa"/>
          </w:tcPr>
          <w:p w14:paraId="26E124D5" w14:textId="52E28DCE" w:rsidR="00175AF6" w:rsidRDefault="00175AF6" w:rsidP="00B8567D">
            <w:pPr>
              <w:pStyle w:val="BodyText"/>
              <w:ind w:left="933"/>
            </w:pPr>
          </w:p>
        </w:tc>
        <w:tc>
          <w:tcPr>
            <w:tcW w:w="1260" w:type="dxa"/>
            <w:gridSpan w:val="2"/>
          </w:tcPr>
          <w:p w14:paraId="77F77E4F" w14:textId="77777777" w:rsidR="00175AF6" w:rsidRDefault="00175AF6" w:rsidP="00B8567D">
            <w:pPr>
              <w:pStyle w:val="BodyText"/>
              <w:ind w:left="933"/>
            </w:pPr>
          </w:p>
        </w:tc>
      </w:tr>
      <w:tr w:rsidR="00175AF6" w14:paraId="55FB6646" w14:textId="4F95EA51" w:rsidTr="007C13B3">
        <w:trPr>
          <w:trHeight w:val="488"/>
        </w:trPr>
        <w:tc>
          <w:tcPr>
            <w:tcW w:w="8190" w:type="dxa"/>
            <w:gridSpan w:val="3"/>
          </w:tcPr>
          <w:p w14:paraId="18678238" w14:textId="354CC626" w:rsidR="00175AF6" w:rsidRDefault="00175AF6" w:rsidP="0042265C">
            <w:pPr>
              <w:pStyle w:val="BodyText"/>
            </w:pPr>
            <w:r>
              <w:t>What is the hand hygiene compliance rate in this ward/area?</w:t>
            </w:r>
          </w:p>
        </w:tc>
        <w:tc>
          <w:tcPr>
            <w:tcW w:w="810" w:type="dxa"/>
          </w:tcPr>
          <w:p w14:paraId="666DF449" w14:textId="77777777" w:rsidR="00175AF6" w:rsidRDefault="00175AF6" w:rsidP="00175AF6">
            <w:pPr>
              <w:pStyle w:val="BodyText"/>
            </w:pPr>
          </w:p>
        </w:tc>
        <w:tc>
          <w:tcPr>
            <w:tcW w:w="630" w:type="dxa"/>
          </w:tcPr>
          <w:p w14:paraId="09684980" w14:textId="4C0B3E9D" w:rsidR="00175AF6" w:rsidRDefault="00175AF6" w:rsidP="00B8567D">
            <w:pPr>
              <w:pStyle w:val="BodyText"/>
              <w:ind w:left="933"/>
            </w:pPr>
          </w:p>
        </w:tc>
        <w:tc>
          <w:tcPr>
            <w:tcW w:w="1260" w:type="dxa"/>
            <w:gridSpan w:val="2"/>
          </w:tcPr>
          <w:p w14:paraId="454AF9F2" w14:textId="77777777" w:rsidR="00175AF6" w:rsidRDefault="00175AF6" w:rsidP="00B8567D">
            <w:pPr>
              <w:pStyle w:val="BodyText"/>
              <w:ind w:left="933"/>
            </w:pPr>
          </w:p>
        </w:tc>
      </w:tr>
    </w:tbl>
    <w:p w14:paraId="717E025B" w14:textId="77777777" w:rsidR="00B464F0" w:rsidRDefault="00B464F0" w:rsidP="00B8567D"/>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B464F0" w14:paraId="13FF0F69" w14:textId="77777777" w:rsidTr="00B7472E">
        <w:trPr>
          <w:trHeight w:val="516"/>
        </w:trPr>
        <w:tc>
          <w:tcPr>
            <w:tcW w:w="10890" w:type="dxa"/>
            <w:shd w:val="clear" w:color="auto" w:fill="0F5CA2" w:themeFill="accent1"/>
            <w:vAlign w:val="center"/>
          </w:tcPr>
          <w:p w14:paraId="085730FD" w14:textId="640B54C7" w:rsidR="00B464F0" w:rsidRDefault="00B464F0" w:rsidP="00B464F0">
            <w:r w:rsidRPr="00B464F0">
              <w:rPr>
                <w:color w:val="F1F2F2" w:themeColor="background2"/>
              </w:rPr>
              <w:t>EVENT ANALYSIS</w:t>
            </w:r>
          </w:p>
        </w:tc>
      </w:tr>
      <w:tr w:rsidR="00B464F0" w14:paraId="0D631C23" w14:textId="77777777" w:rsidTr="00B7472E">
        <w:trPr>
          <w:trHeight w:val="420"/>
        </w:trPr>
        <w:tc>
          <w:tcPr>
            <w:tcW w:w="10890" w:type="dxa"/>
            <w:vAlign w:val="center"/>
          </w:tcPr>
          <w:p w14:paraId="6AC7C87C" w14:textId="2CC3F517" w:rsidR="00B464F0" w:rsidRDefault="00B464F0" w:rsidP="00B464F0">
            <w:r w:rsidRPr="00B464F0">
              <w:t xml:space="preserve">Have previous similar events been identified in this facility in the last six (6) months (see previous Investigation Checklists)? </w:t>
            </w:r>
            <w:r>
              <w:t xml:space="preserve"> </w:t>
            </w:r>
            <w:sdt>
              <w:sdtPr>
                <w:id w:val="-1025093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464F0">
              <w:t xml:space="preserve">  Yes  </w:t>
            </w:r>
            <w:r>
              <w:t xml:space="preserve"> </w:t>
            </w:r>
            <w:r w:rsidRPr="00B464F0">
              <w:t xml:space="preserve">  </w:t>
            </w:r>
            <w:sdt>
              <w:sdtPr>
                <w:id w:val="655724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464F0">
              <w:t xml:space="preserve"> No  </w:t>
            </w:r>
          </w:p>
        </w:tc>
      </w:tr>
      <w:tr w:rsidR="00B464F0" w14:paraId="5F67BE89" w14:textId="77777777" w:rsidTr="00B7472E">
        <w:trPr>
          <w:trHeight w:val="4524"/>
        </w:trPr>
        <w:tc>
          <w:tcPr>
            <w:tcW w:w="10890" w:type="dxa"/>
          </w:tcPr>
          <w:p w14:paraId="3DA96EAB" w14:textId="77777777" w:rsidR="00B464F0" w:rsidRDefault="00B464F0" w:rsidP="00067A5A">
            <w:pPr>
              <w:pStyle w:val="BodyText"/>
            </w:pPr>
            <w:r>
              <w:t>What were the critical problems or issues identified in the investigation?  For example:</w:t>
            </w:r>
          </w:p>
          <w:p w14:paraId="28077296" w14:textId="5497DA6F" w:rsidR="00B464F0" w:rsidRDefault="005159B5" w:rsidP="00067A5A">
            <w:pPr>
              <w:pStyle w:val="BodyText"/>
              <w:tabs>
                <w:tab w:val="left" w:pos="10284"/>
              </w:tabs>
            </w:pPr>
            <w:sdt>
              <w:sdtPr>
                <w:id w:val="-927424886"/>
                <w14:checkbox>
                  <w14:checked w14:val="0"/>
                  <w14:checkedState w14:val="2612" w14:font="MS Gothic"/>
                  <w14:uncheckedState w14:val="2610" w14:font="MS Gothic"/>
                </w14:checkbox>
              </w:sdtPr>
              <w:sdtEndPr/>
              <w:sdtContent>
                <w:r w:rsidR="00067A5A">
                  <w:rPr>
                    <w:rFonts w:ascii="MS Gothic" w:eastAsia="MS Gothic" w:hAnsi="MS Gothic" w:hint="eastAsia"/>
                  </w:rPr>
                  <w:t>☐</w:t>
                </w:r>
              </w:sdtContent>
            </w:sdt>
            <w:r w:rsidR="00067A5A">
              <w:t xml:space="preserve">     </w:t>
            </w:r>
            <w:r w:rsidR="00B464F0">
              <w:t>The condition of the patient _________________________________________________________________</w:t>
            </w:r>
            <w:r w:rsidR="00067A5A">
              <w:t>_</w:t>
            </w:r>
          </w:p>
          <w:p w14:paraId="40C39D83" w14:textId="60A3CA09" w:rsidR="00B464F0" w:rsidRDefault="005159B5" w:rsidP="00067A5A">
            <w:pPr>
              <w:pStyle w:val="BodyText"/>
              <w:tabs>
                <w:tab w:val="left" w:pos="10352"/>
                <w:tab w:val="left" w:pos="10513"/>
              </w:tabs>
            </w:pPr>
            <w:sdt>
              <w:sdtPr>
                <w:id w:val="617958343"/>
                <w14:checkbox>
                  <w14:checked w14:val="0"/>
                  <w14:checkedState w14:val="2612" w14:font="MS Gothic"/>
                  <w14:uncheckedState w14:val="2610" w14:font="MS Gothic"/>
                </w14:checkbox>
              </w:sdtPr>
              <w:sdtEndPr/>
              <w:sdtContent>
                <w:r w:rsidR="00067A5A">
                  <w:rPr>
                    <w:rFonts w:ascii="MS Gothic" w:eastAsia="MS Gothic" w:hAnsi="MS Gothic" w:hint="eastAsia"/>
                  </w:rPr>
                  <w:t>☐</w:t>
                </w:r>
              </w:sdtContent>
            </w:sdt>
            <w:r w:rsidR="00B464F0">
              <w:t xml:space="preserve">  </w:t>
            </w:r>
            <w:r w:rsidR="00067A5A">
              <w:t xml:space="preserve">   </w:t>
            </w:r>
            <w:r w:rsidR="00B464F0">
              <w:t>The environment _________________________________________________________________________</w:t>
            </w:r>
            <w:r w:rsidR="00067A5A">
              <w:t>___</w:t>
            </w:r>
          </w:p>
          <w:p w14:paraId="2B7E8D32" w14:textId="2BE3B43F" w:rsidR="00B464F0" w:rsidRDefault="005159B5" w:rsidP="00067A5A">
            <w:pPr>
              <w:pStyle w:val="BodyText"/>
              <w:tabs>
                <w:tab w:val="left" w:pos="10333"/>
              </w:tabs>
            </w:pPr>
            <w:sdt>
              <w:sdtPr>
                <w:id w:val="-332986034"/>
                <w14:checkbox>
                  <w14:checked w14:val="0"/>
                  <w14:checkedState w14:val="2612" w14:font="MS Gothic"/>
                  <w14:uncheckedState w14:val="2610" w14:font="MS Gothic"/>
                </w14:checkbox>
              </w:sdtPr>
              <w:sdtEndPr/>
              <w:sdtContent>
                <w:r w:rsidR="00067A5A">
                  <w:rPr>
                    <w:rFonts w:ascii="MS Gothic" w:eastAsia="MS Gothic" w:hAnsi="MS Gothic" w:hint="eastAsia"/>
                  </w:rPr>
                  <w:t>☐</w:t>
                </w:r>
              </w:sdtContent>
            </w:sdt>
            <w:r w:rsidR="00B464F0">
              <w:t xml:space="preserve">  </w:t>
            </w:r>
            <w:r w:rsidR="00067A5A">
              <w:t xml:space="preserve">   </w:t>
            </w:r>
            <w:r w:rsidR="00B464F0">
              <w:t>Staff knowledge and competency ____________________________________________________________</w:t>
            </w:r>
            <w:r w:rsidR="00067A5A">
              <w:t>__</w:t>
            </w:r>
          </w:p>
          <w:p w14:paraId="30FB9281" w14:textId="50BB8D10" w:rsidR="00B464F0" w:rsidRDefault="005159B5" w:rsidP="00067A5A">
            <w:pPr>
              <w:pStyle w:val="BodyText"/>
            </w:pPr>
            <w:sdt>
              <w:sdtPr>
                <w:id w:val="-1870833092"/>
                <w14:checkbox>
                  <w14:checked w14:val="0"/>
                  <w14:checkedState w14:val="2612" w14:font="MS Gothic"/>
                  <w14:uncheckedState w14:val="2610" w14:font="MS Gothic"/>
                </w14:checkbox>
              </w:sdtPr>
              <w:sdtEndPr/>
              <w:sdtContent>
                <w:r w:rsidR="00067A5A">
                  <w:rPr>
                    <w:rFonts w:ascii="MS Gothic" w:eastAsia="MS Gothic" w:hAnsi="MS Gothic" w:hint="eastAsia"/>
                  </w:rPr>
                  <w:t>☐</w:t>
                </w:r>
              </w:sdtContent>
            </w:sdt>
            <w:r w:rsidR="00B464F0">
              <w:t xml:space="preserve">  </w:t>
            </w:r>
            <w:r w:rsidR="00067A5A">
              <w:t xml:space="preserve">   </w:t>
            </w:r>
            <w:r w:rsidR="00B464F0">
              <w:t>Any treatment ___________________________________________________________________________</w:t>
            </w:r>
            <w:r w:rsidR="00067A5A">
              <w:t>___</w:t>
            </w:r>
          </w:p>
          <w:p w14:paraId="3E302273" w14:textId="3F2AC26D" w:rsidR="00B464F0" w:rsidRDefault="005159B5" w:rsidP="00067A5A">
            <w:pPr>
              <w:pStyle w:val="BodyText"/>
            </w:pPr>
            <w:sdt>
              <w:sdtPr>
                <w:id w:val="746845067"/>
                <w14:checkbox>
                  <w14:checked w14:val="0"/>
                  <w14:checkedState w14:val="2612" w14:font="MS Gothic"/>
                  <w14:uncheckedState w14:val="2610" w14:font="MS Gothic"/>
                </w14:checkbox>
              </w:sdtPr>
              <w:sdtEndPr/>
              <w:sdtContent>
                <w:r w:rsidR="00067A5A">
                  <w:rPr>
                    <w:rFonts w:ascii="MS Gothic" w:eastAsia="MS Gothic" w:hAnsi="MS Gothic" w:hint="eastAsia"/>
                  </w:rPr>
                  <w:t>☐</w:t>
                </w:r>
              </w:sdtContent>
            </w:sdt>
            <w:r w:rsidR="00B464F0">
              <w:t xml:space="preserve">  </w:t>
            </w:r>
            <w:r w:rsidR="00067A5A">
              <w:t xml:space="preserve">   </w:t>
            </w:r>
            <w:r w:rsidR="00B464F0">
              <w:t>Contamination of equipment ________________________________________________________________</w:t>
            </w:r>
            <w:r w:rsidR="00067A5A">
              <w:t>_</w:t>
            </w:r>
          </w:p>
          <w:p w14:paraId="57A66979" w14:textId="70F07A7C" w:rsidR="00B464F0" w:rsidRDefault="005159B5" w:rsidP="00067A5A">
            <w:pPr>
              <w:pStyle w:val="BodyText"/>
              <w:tabs>
                <w:tab w:val="left" w:pos="10080"/>
                <w:tab w:val="left" w:pos="10333"/>
              </w:tabs>
            </w:pPr>
            <w:sdt>
              <w:sdtPr>
                <w:id w:val="-937747635"/>
                <w14:checkbox>
                  <w14:checked w14:val="0"/>
                  <w14:checkedState w14:val="2612" w14:font="MS Gothic"/>
                  <w14:uncheckedState w14:val="2610" w14:font="MS Gothic"/>
                </w14:checkbox>
              </w:sdtPr>
              <w:sdtEndPr/>
              <w:sdtContent>
                <w:r w:rsidR="00067A5A">
                  <w:rPr>
                    <w:rFonts w:ascii="MS Gothic" w:eastAsia="MS Gothic" w:hAnsi="MS Gothic" w:hint="eastAsia"/>
                  </w:rPr>
                  <w:t>☐</w:t>
                </w:r>
              </w:sdtContent>
            </w:sdt>
            <w:r w:rsidR="00B464F0">
              <w:t xml:space="preserve"> </w:t>
            </w:r>
            <w:r w:rsidR="00067A5A">
              <w:t xml:space="preserve">    </w:t>
            </w:r>
            <w:r w:rsidR="00B464F0">
              <w:t>Procedures or protocols ___________________________________________________________________</w:t>
            </w:r>
            <w:r w:rsidR="00067A5A">
              <w:t>___</w:t>
            </w:r>
          </w:p>
          <w:p w14:paraId="26291CAD" w14:textId="060D1DB0" w:rsidR="00B464F0" w:rsidRDefault="005159B5" w:rsidP="00067A5A">
            <w:pPr>
              <w:pStyle w:val="BodyText"/>
            </w:pPr>
            <w:sdt>
              <w:sdtPr>
                <w:id w:val="-158009788"/>
                <w14:checkbox>
                  <w14:checked w14:val="0"/>
                  <w14:checkedState w14:val="2612" w14:font="MS Gothic"/>
                  <w14:uncheckedState w14:val="2610" w14:font="MS Gothic"/>
                </w14:checkbox>
              </w:sdtPr>
              <w:sdtEndPr/>
              <w:sdtContent>
                <w:r w:rsidR="00067A5A">
                  <w:rPr>
                    <w:rFonts w:ascii="MS Gothic" w:eastAsia="MS Gothic" w:hAnsi="MS Gothic" w:hint="eastAsia"/>
                  </w:rPr>
                  <w:t>☐</w:t>
                </w:r>
              </w:sdtContent>
            </w:sdt>
            <w:r w:rsidR="00067A5A">
              <w:t xml:space="preserve">     </w:t>
            </w:r>
            <w:r w:rsidR="00B464F0">
              <w:t>Equipment and supplies ___________________________________________________________________</w:t>
            </w:r>
            <w:r w:rsidR="00067A5A">
              <w:t>__</w:t>
            </w:r>
          </w:p>
          <w:p w14:paraId="123DEAE6" w14:textId="4CC7908E" w:rsidR="00B464F0" w:rsidRDefault="005159B5" w:rsidP="00067A5A">
            <w:pPr>
              <w:pStyle w:val="BodyText"/>
            </w:pPr>
            <w:sdt>
              <w:sdtPr>
                <w:id w:val="161666302"/>
                <w14:checkbox>
                  <w14:checked w14:val="0"/>
                  <w14:checkedState w14:val="2612" w14:font="MS Gothic"/>
                  <w14:uncheckedState w14:val="2610" w14:font="MS Gothic"/>
                </w14:checkbox>
              </w:sdtPr>
              <w:sdtEndPr/>
              <w:sdtContent>
                <w:r w:rsidR="00067A5A">
                  <w:rPr>
                    <w:rFonts w:ascii="MS Gothic" w:eastAsia="MS Gothic" w:hAnsi="MS Gothic" w:hint="eastAsia"/>
                  </w:rPr>
                  <w:t>☐</w:t>
                </w:r>
              </w:sdtContent>
            </w:sdt>
            <w:r w:rsidR="00B464F0">
              <w:t xml:space="preserve">  </w:t>
            </w:r>
            <w:r w:rsidR="00067A5A">
              <w:t xml:space="preserve">   </w:t>
            </w:r>
            <w:r w:rsidR="00B464F0">
              <w:t>Compliance with Standard and Protocols _____________________________________________________</w:t>
            </w:r>
            <w:r w:rsidR="00067A5A">
              <w:t>__</w:t>
            </w:r>
          </w:p>
          <w:p w14:paraId="61B7B355" w14:textId="62425AA3" w:rsidR="00B464F0" w:rsidRDefault="005159B5" w:rsidP="00067A5A">
            <w:pPr>
              <w:pStyle w:val="BodyText"/>
            </w:pPr>
            <w:sdt>
              <w:sdtPr>
                <w:id w:val="1931383422"/>
                <w14:checkbox>
                  <w14:checked w14:val="0"/>
                  <w14:checkedState w14:val="2612" w14:font="MS Gothic"/>
                  <w14:uncheckedState w14:val="2610" w14:font="MS Gothic"/>
                </w14:checkbox>
              </w:sdtPr>
              <w:sdtEndPr/>
              <w:sdtContent>
                <w:r w:rsidR="00067A5A">
                  <w:rPr>
                    <w:rFonts w:ascii="MS Gothic" w:eastAsia="MS Gothic" w:hAnsi="MS Gothic" w:hint="eastAsia"/>
                  </w:rPr>
                  <w:t>☐</w:t>
                </w:r>
              </w:sdtContent>
            </w:sdt>
            <w:r w:rsidR="00B464F0">
              <w:t xml:space="preserve">  </w:t>
            </w:r>
            <w:r w:rsidR="00067A5A">
              <w:t xml:space="preserve">   </w:t>
            </w:r>
            <w:r w:rsidR="00B464F0">
              <w:t>Other __________________________________________________________________________________</w:t>
            </w:r>
            <w:r w:rsidR="00067A5A">
              <w:t>____</w:t>
            </w:r>
          </w:p>
        </w:tc>
      </w:tr>
      <w:tr w:rsidR="007D2B8C" w14:paraId="00164683" w14:textId="77777777" w:rsidTr="00B7472E">
        <w:trPr>
          <w:trHeight w:val="1943"/>
        </w:trPr>
        <w:tc>
          <w:tcPr>
            <w:tcW w:w="10890" w:type="dxa"/>
          </w:tcPr>
          <w:p w14:paraId="26E92FAE" w14:textId="77777777" w:rsidR="007D2B8C" w:rsidRPr="00BC3ACB" w:rsidRDefault="007D2B8C" w:rsidP="00F54CD5">
            <w:pPr>
              <w:pStyle w:val="BodyText"/>
            </w:pPr>
            <w:r w:rsidRPr="00BC3ACB">
              <w:t>What were the main contributory factors?</w:t>
            </w:r>
          </w:p>
          <w:p w14:paraId="5AD6EBC8" w14:textId="77777777" w:rsidR="007D2B8C" w:rsidRPr="00BC3ACB" w:rsidRDefault="007D2B8C" w:rsidP="00F54CD5">
            <w:pPr>
              <w:pStyle w:val="ListBullet"/>
            </w:pPr>
            <w:r w:rsidRPr="00BC3ACB">
              <w:t>For each of the most significant critical problems/issues consider: what has contributed to, influenced or caused that problem/issue?</w:t>
            </w:r>
          </w:p>
          <w:p w14:paraId="3A34365C" w14:textId="6CD21679" w:rsidR="007D2B8C" w:rsidRDefault="007D2B8C" w:rsidP="00F54CD5">
            <w:pPr>
              <w:pStyle w:val="ListBullet"/>
            </w:pPr>
            <w:r w:rsidRPr="00BC3ACB">
              <w:t>Identify the main contributory factors which have had the greatest impact on the infection and would help reduce th</w:t>
            </w:r>
            <w:r>
              <w:t>e chances of it happening again</w:t>
            </w:r>
            <w:r w:rsidR="00F54CD5">
              <w:t>.</w:t>
            </w:r>
          </w:p>
        </w:tc>
      </w:tr>
      <w:tr w:rsidR="00F54CD5" w14:paraId="3CEBF00A" w14:textId="77777777" w:rsidTr="00B7472E">
        <w:trPr>
          <w:trHeight w:val="1943"/>
        </w:trPr>
        <w:tc>
          <w:tcPr>
            <w:tcW w:w="10890" w:type="dxa"/>
          </w:tcPr>
          <w:p w14:paraId="24A5BBED" w14:textId="77777777" w:rsidR="00F54CD5" w:rsidRPr="00F54CD5" w:rsidRDefault="00F54CD5" w:rsidP="00F54CD5">
            <w:pPr>
              <w:pStyle w:val="BodyText"/>
            </w:pPr>
            <w:r w:rsidRPr="00F54CD5">
              <w:lastRenderedPageBreak/>
              <w:t>Use the attached action plan to outline your response:</w:t>
            </w:r>
          </w:p>
          <w:p w14:paraId="53D5A4C9" w14:textId="30F51805" w:rsidR="00F54CD5" w:rsidRPr="00F54CD5" w:rsidRDefault="00F54CD5" w:rsidP="00F54CD5">
            <w:pPr>
              <w:pStyle w:val="ListBullet"/>
            </w:pPr>
            <w:r w:rsidRPr="00F54CD5">
              <w:t>Using the checklist note any areas and examples of good practice</w:t>
            </w:r>
            <w:r>
              <w:t>.</w:t>
            </w:r>
          </w:p>
          <w:p w14:paraId="4CF35032" w14:textId="77777777" w:rsidR="00F54CD5" w:rsidRDefault="00F54CD5" w:rsidP="00F54CD5">
            <w:pPr>
              <w:pStyle w:val="ListBullet"/>
            </w:pPr>
            <w:r w:rsidRPr="00F54CD5">
              <w:t>Develop a list of targeted recommendations/solutions to address each main contributory factor – what control and changes will be implemented to reduce the chances of the infection occurring in the future?</w:t>
            </w:r>
          </w:p>
          <w:p w14:paraId="43A0F5D2" w14:textId="45A73AF4" w:rsidR="00F54CD5" w:rsidRPr="00BC3ACB" w:rsidRDefault="00F54CD5" w:rsidP="00F54CD5">
            <w:pPr>
              <w:pStyle w:val="ListBullet"/>
            </w:pPr>
            <w:r w:rsidRPr="00BC3ACB">
              <w:t>Communicate and record the results of this investigation through the relevant reporting body(s) in the facility</w:t>
            </w:r>
            <w:r>
              <w:t>.</w:t>
            </w:r>
          </w:p>
          <w:p w14:paraId="599825B8" w14:textId="3B8D72E4" w:rsidR="00F54CD5" w:rsidRPr="00BC3ACB" w:rsidRDefault="00F54CD5" w:rsidP="00F54CD5">
            <w:pPr>
              <w:pStyle w:val="ListBullet"/>
            </w:pPr>
            <w:r w:rsidRPr="00BC3ACB">
              <w:t>Feedback the examples and areas of good practice to staff</w:t>
            </w:r>
            <w:r>
              <w:t>.</w:t>
            </w:r>
          </w:p>
        </w:tc>
      </w:tr>
    </w:tbl>
    <w:tbl>
      <w:tblPr>
        <w:tblpPr w:leftFromText="180" w:rightFromText="180" w:vertAnchor="text" w:horzAnchor="page" w:tblpX="531" w:tblpY="97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8"/>
        <w:gridCol w:w="1793"/>
        <w:gridCol w:w="1749"/>
        <w:gridCol w:w="1769"/>
        <w:gridCol w:w="2096"/>
      </w:tblGrid>
      <w:tr w:rsidR="00A60797" w14:paraId="6088A755" w14:textId="77777777" w:rsidTr="00B7472E">
        <w:trPr>
          <w:trHeight w:val="489"/>
        </w:trPr>
        <w:tc>
          <w:tcPr>
            <w:tcW w:w="10885" w:type="dxa"/>
            <w:gridSpan w:val="5"/>
            <w:shd w:val="clear" w:color="auto" w:fill="0F5CA2" w:themeFill="accent1"/>
            <w:vAlign w:val="center"/>
          </w:tcPr>
          <w:p w14:paraId="22A2F473" w14:textId="77777777" w:rsidR="00A60797" w:rsidRDefault="00A60797" w:rsidP="00A60797">
            <w:r w:rsidRPr="00055386">
              <w:rPr>
                <w:color w:val="F1F2F2" w:themeColor="background2"/>
              </w:rPr>
              <w:t>ACTION PLAN</w:t>
            </w:r>
          </w:p>
        </w:tc>
      </w:tr>
      <w:tr w:rsidR="00A60797" w14:paraId="5978156F" w14:textId="77777777" w:rsidTr="00B7472E">
        <w:trPr>
          <w:trHeight w:val="3185"/>
        </w:trPr>
        <w:tc>
          <w:tcPr>
            <w:tcW w:w="3478" w:type="dxa"/>
            <w:shd w:val="clear" w:color="auto" w:fill="81B2DE" w:themeFill="text2" w:themeFillTint="66"/>
          </w:tcPr>
          <w:p w14:paraId="7588539F" w14:textId="77777777" w:rsidR="00A60797" w:rsidRPr="00B6652C" w:rsidRDefault="00A60797" w:rsidP="00A60797">
            <w:pPr>
              <w:spacing w:before="120"/>
              <w:jc w:val="center"/>
              <w:rPr>
                <w:rFonts w:ascii="Fira Sans SemiBold" w:hAnsi="Fira Sans SemiBold"/>
              </w:rPr>
            </w:pPr>
            <w:r w:rsidRPr="00B6652C">
              <w:rPr>
                <w:rFonts w:ascii="Fira Sans SemiBold" w:hAnsi="Fira Sans SemiBold"/>
              </w:rPr>
              <w:t>Recommendations/solutions</w:t>
            </w:r>
          </w:p>
          <w:p w14:paraId="09FD029C" w14:textId="77777777" w:rsidR="00A60797" w:rsidRDefault="00A60797" w:rsidP="00A60797">
            <w:pPr>
              <w:spacing w:before="120"/>
              <w:jc w:val="center"/>
            </w:pPr>
            <w:r>
              <w:t>(what changes need to be made?)</w:t>
            </w:r>
          </w:p>
        </w:tc>
        <w:tc>
          <w:tcPr>
            <w:tcW w:w="1793" w:type="dxa"/>
            <w:shd w:val="clear" w:color="auto" w:fill="81B2DE" w:themeFill="text2" w:themeFillTint="66"/>
          </w:tcPr>
          <w:p w14:paraId="4A59DA49" w14:textId="77777777" w:rsidR="00A60797" w:rsidRPr="00B6652C" w:rsidRDefault="00A60797" w:rsidP="00A60797">
            <w:pPr>
              <w:spacing w:before="120"/>
              <w:jc w:val="center"/>
              <w:rPr>
                <w:rFonts w:ascii="Fira Sans SemiBold" w:hAnsi="Fira Sans SemiBold"/>
              </w:rPr>
            </w:pPr>
            <w:r w:rsidRPr="00B6652C">
              <w:rPr>
                <w:rFonts w:ascii="Fira Sans SemiBold" w:hAnsi="Fira Sans SemiBold"/>
              </w:rPr>
              <w:t>Actions and steps</w:t>
            </w:r>
          </w:p>
          <w:p w14:paraId="74180486" w14:textId="77777777" w:rsidR="00A60797" w:rsidRDefault="00A60797" w:rsidP="00A60797">
            <w:pPr>
              <w:spacing w:before="120"/>
              <w:jc w:val="center"/>
            </w:pPr>
            <w:r>
              <w:t>(how will changes be made?)</w:t>
            </w:r>
          </w:p>
        </w:tc>
        <w:tc>
          <w:tcPr>
            <w:tcW w:w="1749" w:type="dxa"/>
            <w:shd w:val="clear" w:color="auto" w:fill="81B2DE" w:themeFill="text2" w:themeFillTint="66"/>
          </w:tcPr>
          <w:p w14:paraId="587278FF" w14:textId="77777777" w:rsidR="00A60797" w:rsidRPr="00B6652C" w:rsidRDefault="00A60797" w:rsidP="00A60797">
            <w:pPr>
              <w:spacing w:before="120"/>
              <w:jc w:val="center"/>
              <w:rPr>
                <w:rFonts w:ascii="Fira Sans SemiBold" w:hAnsi="Fira Sans SemiBold"/>
              </w:rPr>
            </w:pPr>
            <w:r w:rsidRPr="00B6652C">
              <w:rPr>
                <w:rFonts w:ascii="Fira Sans SemiBold" w:hAnsi="Fira Sans SemiBold"/>
              </w:rPr>
              <w:t>Person responsible for change</w:t>
            </w:r>
          </w:p>
          <w:p w14:paraId="3A98B344" w14:textId="77777777" w:rsidR="00A60797" w:rsidRDefault="00A60797" w:rsidP="00A60797">
            <w:pPr>
              <w:spacing w:before="120"/>
              <w:jc w:val="center"/>
            </w:pPr>
            <w:r>
              <w:t>(who will be the lead person responsible for ensuring that each step or action happens?)</w:t>
            </w:r>
          </w:p>
        </w:tc>
        <w:tc>
          <w:tcPr>
            <w:tcW w:w="1769" w:type="dxa"/>
            <w:shd w:val="clear" w:color="auto" w:fill="81B2DE" w:themeFill="text2" w:themeFillTint="66"/>
          </w:tcPr>
          <w:p w14:paraId="0F220F5F" w14:textId="77777777" w:rsidR="00A60797" w:rsidRPr="00B6652C" w:rsidRDefault="00A60797" w:rsidP="00A60797">
            <w:pPr>
              <w:spacing w:before="120"/>
              <w:jc w:val="center"/>
              <w:rPr>
                <w:rFonts w:ascii="Fira Sans SemiBold" w:hAnsi="Fira Sans SemiBold"/>
              </w:rPr>
            </w:pPr>
            <w:r w:rsidRPr="00B6652C">
              <w:rPr>
                <w:rFonts w:ascii="Fira Sans SemiBold" w:hAnsi="Fira Sans SemiBold"/>
              </w:rPr>
              <w:t>Milestones</w:t>
            </w:r>
          </w:p>
          <w:p w14:paraId="28B476EC" w14:textId="77777777" w:rsidR="00A60797" w:rsidRDefault="00A60797" w:rsidP="00A60797">
            <w:pPr>
              <w:spacing w:before="120"/>
              <w:jc w:val="center"/>
            </w:pPr>
            <w:r>
              <w:t>(what is the due date for completion of each step or action?)</w:t>
            </w:r>
          </w:p>
        </w:tc>
        <w:tc>
          <w:tcPr>
            <w:tcW w:w="2096" w:type="dxa"/>
            <w:shd w:val="clear" w:color="auto" w:fill="81B2DE" w:themeFill="text2" w:themeFillTint="66"/>
          </w:tcPr>
          <w:p w14:paraId="2E42F32F" w14:textId="77777777" w:rsidR="00A60797" w:rsidRPr="00B6652C" w:rsidRDefault="00A60797" w:rsidP="00A60797">
            <w:pPr>
              <w:spacing w:before="120"/>
              <w:jc w:val="both"/>
              <w:rPr>
                <w:rFonts w:ascii="Fira Sans SemiBold" w:hAnsi="Fira Sans SemiBold"/>
              </w:rPr>
            </w:pPr>
            <w:r w:rsidRPr="00B6652C">
              <w:rPr>
                <w:rFonts w:ascii="Fira Sans SemiBold" w:hAnsi="Fira Sans SemiBold"/>
              </w:rPr>
              <w:t>Date completed</w:t>
            </w:r>
          </w:p>
        </w:tc>
      </w:tr>
      <w:tr w:rsidR="00A60797" w14:paraId="1BCA93F7" w14:textId="77777777" w:rsidTr="00B7472E">
        <w:trPr>
          <w:trHeight w:val="557"/>
        </w:trPr>
        <w:tc>
          <w:tcPr>
            <w:tcW w:w="3478" w:type="dxa"/>
          </w:tcPr>
          <w:p w14:paraId="6EDB287A" w14:textId="77777777" w:rsidR="00A60797" w:rsidRDefault="00A60797" w:rsidP="00A60797"/>
        </w:tc>
        <w:tc>
          <w:tcPr>
            <w:tcW w:w="1793" w:type="dxa"/>
          </w:tcPr>
          <w:p w14:paraId="68ACB266" w14:textId="77777777" w:rsidR="00A60797" w:rsidRDefault="00A60797" w:rsidP="00A60797"/>
        </w:tc>
        <w:tc>
          <w:tcPr>
            <w:tcW w:w="1749" w:type="dxa"/>
          </w:tcPr>
          <w:p w14:paraId="4444EA6A" w14:textId="77777777" w:rsidR="00A60797" w:rsidRDefault="00A60797" w:rsidP="00A60797"/>
        </w:tc>
        <w:tc>
          <w:tcPr>
            <w:tcW w:w="1769" w:type="dxa"/>
          </w:tcPr>
          <w:p w14:paraId="22E1CBE9" w14:textId="77777777" w:rsidR="00A60797" w:rsidRDefault="00A60797" w:rsidP="00A60797"/>
        </w:tc>
        <w:tc>
          <w:tcPr>
            <w:tcW w:w="2096" w:type="dxa"/>
          </w:tcPr>
          <w:p w14:paraId="4B587698" w14:textId="77777777" w:rsidR="00A60797" w:rsidRDefault="00A60797" w:rsidP="00A60797"/>
        </w:tc>
      </w:tr>
      <w:tr w:rsidR="00A60797" w14:paraId="728475B1" w14:textId="77777777" w:rsidTr="00B7472E">
        <w:trPr>
          <w:trHeight w:val="557"/>
        </w:trPr>
        <w:tc>
          <w:tcPr>
            <w:tcW w:w="3478" w:type="dxa"/>
          </w:tcPr>
          <w:p w14:paraId="459B300A" w14:textId="77777777" w:rsidR="00A60797" w:rsidRDefault="00A60797" w:rsidP="00A60797"/>
        </w:tc>
        <w:tc>
          <w:tcPr>
            <w:tcW w:w="1793" w:type="dxa"/>
          </w:tcPr>
          <w:p w14:paraId="6D8ECA25" w14:textId="77777777" w:rsidR="00A60797" w:rsidRDefault="00A60797" w:rsidP="00A60797"/>
        </w:tc>
        <w:tc>
          <w:tcPr>
            <w:tcW w:w="1749" w:type="dxa"/>
          </w:tcPr>
          <w:p w14:paraId="19EDD778" w14:textId="77777777" w:rsidR="00A60797" w:rsidRDefault="00A60797" w:rsidP="00A60797"/>
        </w:tc>
        <w:tc>
          <w:tcPr>
            <w:tcW w:w="1769" w:type="dxa"/>
          </w:tcPr>
          <w:p w14:paraId="546FCAF8" w14:textId="77777777" w:rsidR="00A60797" w:rsidRDefault="00A60797" w:rsidP="00A60797"/>
        </w:tc>
        <w:tc>
          <w:tcPr>
            <w:tcW w:w="2096" w:type="dxa"/>
          </w:tcPr>
          <w:p w14:paraId="5FCA64A8" w14:textId="77777777" w:rsidR="00A60797" w:rsidRDefault="00A60797" w:rsidP="00A60797"/>
        </w:tc>
      </w:tr>
      <w:tr w:rsidR="00A60797" w14:paraId="6D77AF30" w14:textId="77777777" w:rsidTr="00B7472E">
        <w:trPr>
          <w:trHeight w:val="557"/>
        </w:trPr>
        <w:tc>
          <w:tcPr>
            <w:tcW w:w="3478" w:type="dxa"/>
          </w:tcPr>
          <w:p w14:paraId="5EA40062" w14:textId="77777777" w:rsidR="00A60797" w:rsidRDefault="00A60797" w:rsidP="00A60797"/>
        </w:tc>
        <w:tc>
          <w:tcPr>
            <w:tcW w:w="1793" w:type="dxa"/>
          </w:tcPr>
          <w:p w14:paraId="54AF9DD2" w14:textId="77777777" w:rsidR="00A60797" w:rsidRDefault="00A60797" w:rsidP="00A60797"/>
        </w:tc>
        <w:tc>
          <w:tcPr>
            <w:tcW w:w="1749" w:type="dxa"/>
          </w:tcPr>
          <w:p w14:paraId="7046628B" w14:textId="77777777" w:rsidR="00A60797" w:rsidRDefault="00A60797" w:rsidP="00A60797"/>
        </w:tc>
        <w:tc>
          <w:tcPr>
            <w:tcW w:w="1769" w:type="dxa"/>
          </w:tcPr>
          <w:p w14:paraId="573F65DB" w14:textId="77777777" w:rsidR="00A60797" w:rsidRDefault="00A60797" w:rsidP="00A60797"/>
        </w:tc>
        <w:tc>
          <w:tcPr>
            <w:tcW w:w="2096" w:type="dxa"/>
          </w:tcPr>
          <w:p w14:paraId="36336A09" w14:textId="77777777" w:rsidR="00A60797" w:rsidRDefault="00A60797" w:rsidP="00A60797"/>
        </w:tc>
      </w:tr>
      <w:tr w:rsidR="00A60797" w14:paraId="12700326" w14:textId="77777777" w:rsidTr="00B7472E">
        <w:trPr>
          <w:trHeight w:val="557"/>
        </w:trPr>
        <w:tc>
          <w:tcPr>
            <w:tcW w:w="3478" w:type="dxa"/>
          </w:tcPr>
          <w:p w14:paraId="2388AF10" w14:textId="77777777" w:rsidR="00A60797" w:rsidRDefault="00A60797" w:rsidP="00A60797"/>
        </w:tc>
        <w:tc>
          <w:tcPr>
            <w:tcW w:w="1793" w:type="dxa"/>
          </w:tcPr>
          <w:p w14:paraId="4DB0BE92" w14:textId="77777777" w:rsidR="00A60797" w:rsidRDefault="00A60797" w:rsidP="00A60797"/>
        </w:tc>
        <w:tc>
          <w:tcPr>
            <w:tcW w:w="1749" w:type="dxa"/>
          </w:tcPr>
          <w:p w14:paraId="108BC501" w14:textId="77777777" w:rsidR="00A60797" w:rsidRDefault="00A60797" w:rsidP="00A60797"/>
        </w:tc>
        <w:tc>
          <w:tcPr>
            <w:tcW w:w="1769" w:type="dxa"/>
          </w:tcPr>
          <w:p w14:paraId="5D11624C" w14:textId="77777777" w:rsidR="00A60797" w:rsidRDefault="00A60797" w:rsidP="00A60797"/>
        </w:tc>
        <w:tc>
          <w:tcPr>
            <w:tcW w:w="2096" w:type="dxa"/>
          </w:tcPr>
          <w:p w14:paraId="7EF4DA84" w14:textId="77777777" w:rsidR="00A60797" w:rsidRDefault="00A60797" w:rsidP="00A60797"/>
        </w:tc>
      </w:tr>
      <w:tr w:rsidR="00A60797" w14:paraId="4B83EC13" w14:textId="77777777" w:rsidTr="00B7472E">
        <w:trPr>
          <w:trHeight w:val="557"/>
        </w:trPr>
        <w:tc>
          <w:tcPr>
            <w:tcW w:w="3478" w:type="dxa"/>
          </w:tcPr>
          <w:p w14:paraId="6E3592C2" w14:textId="77777777" w:rsidR="00A60797" w:rsidRDefault="00A60797" w:rsidP="00A60797"/>
        </w:tc>
        <w:tc>
          <w:tcPr>
            <w:tcW w:w="1793" w:type="dxa"/>
          </w:tcPr>
          <w:p w14:paraId="184C0108" w14:textId="77777777" w:rsidR="00A60797" w:rsidRDefault="00A60797" w:rsidP="00A60797"/>
        </w:tc>
        <w:tc>
          <w:tcPr>
            <w:tcW w:w="1749" w:type="dxa"/>
          </w:tcPr>
          <w:p w14:paraId="36D060C1" w14:textId="77777777" w:rsidR="00A60797" w:rsidRDefault="00A60797" w:rsidP="00A60797"/>
        </w:tc>
        <w:tc>
          <w:tcPr>
            <w:tcW w:w="1769" w:type="dxa"/>
          </w:tcPr>
          <w:p w14:paraId="731CA593" w14:textId="77777777" w:rsidR="00A60797" w:rsidRDefault="00A60797" w:rsidP="00A60797"/>
        </w:tc>
        <w:tc>
          <w:tcPr>
            <w:tcW w:w="2096" w:type="dxa"/>
          </w:tcPr>
          <w:p w14:paraId="2D08F3F6" w14:textId="77777777" w:rsidR="00A60797" w:rsidRDefault="00A60797" w:rsidP="00A60797"/>
        </w:tc>
      </w:tr>
      <w:tr w:rsidR="00A60797" w14:paraId="3E2D460B" w14:textId="77777777" w:rsidTr="00B7472E">
        <w:trPr>
          <w:trHeight w:val="557"/>
        </w:trPr>
        <w:tc>
          <w:tcPr>
            <w:tcW w:w="3478" w:type="dxa"/>
          </w:tcPr>
          <w:p w14:paraId="1F04683A" w14:textId="77777777" w:rsidR="00A60797" w:rsidRDefault="00A60797" w:rsidP="00A60797"/>
        </w:tc>
        <w:tc>
          <w:tcPr>
            <w:tcW w:w="1793" w:type="dxa"/>
          </w:tcPr>
          <w:p w14:paraId="071F2BF3" w14:textId="77777777" w:rsidR="00A60797" w:rsidRDefault="00A60797" w:rsidP="00A60797"/>
        </w:tc>
        <w:tc>
          <w:tcPr>
            <w:tcW w:w="1749" w:type="dxa"/>
          </w:tcPr>
          <w:p w14:paraId="51E5C991" w14:textId="77777777" w:rsidR="00A60797" w:rsidRDefault="00A60797" w:rsidP="00A60797"/>
        </w:tc>
        <w:tc>
          <w:tcPr>
            <w:tcW w:w="1769" w:type="dxa"/>
          </w:tcPr>
          <w:p w14:paraId="777293AB" w14:textId="77777777" w:rsidR="00A60797" w:rsidRDefault="00A60797" w:rsidP="00A60797"/>
        </w:tc>
        <w:tc>
          <w:tcPr>
            <w:tcW w:w="2096" w:type="dxa"/>
          </w:tcPr>
          <w:p w14:paraId="0197F8B7" w14:textId="77777777" w:rsidR="00A60797" w:rsidRDefault="00A60797" w:rsidP="00A60797"/>
        </w:tc>
      </w:tr>
      <w:tr w:rsidR="00A60797" w14:paraId="235B63AB" w14:textId="77777777" w:rsidTr="00B7472E">
        <w:trPr>
          <w:trHeight w:val="557"/>
        </w:trPr>
        <w:tc>
          <w:tcPr>
            <w:tcW w:w="3478" w:type="dxa"/>
          </w:tcPr>
          <w:p w14:paraId="69E4EB5D" w14:textId="77777777" w:rsidR="00A60797" w:rsidRDefault="00A60797" w:rsidP="00A60797"/>
        </w:tc>
        <w:tc>
          <w:tcPr>
            <w:tcW w:w="1793" w:type="dxa"/>
          </w:tcPr>
          <w:p w14:paraId="0E262C26" w14:textId="77777777" w:rsidR="00A60797" w:rsidRDefault="00A60797" w:rsidP="00A60797"/>
        </w:tc>
        <w:tc>
          <w:tcPr>
            <w:tcW w:w="1749" w:type="dxa"/>
          </w:tcPr>
          <w:p w14:paraId="69786DB7" w14:textId="77777777" w:rsidR="00A60797" w:rsidRDefault="00A60797" w:rsidP="00A60797"/>
        </w:tc>
        <w:tc>
          <w:tcPr>
            <w:tcW w:w="1769" w:type="dxa"/>
          </w:tcPr>
          <w:p w14:paraId="4C16035C" w14:textId="77777777" w:rsidR="00A60797" w:rsidRDefault="00A60797" w:rsidP="00A60797"/>
        </w:tc>
        <w:tc>
          <w:tcPr>
            <w:tcW w:w="2096" w:type="dxa"/>
          </w:tcPr>
          <w:p w14:paraId="038BC042" w14:textId="77777777" w:rsidR="00A60797" w:rsidRDefault="00A60797" w:rsidP="00A60797"/>
        </w:tc>
      </w:tr>
      <w:tr w:rsidR="00A60797" w14:paraId="1447375E" w14:textId="77777777" w:rsidTr="00B7472E">
        <w:trPr>
          <w:trHeight w:val="557"/>
        </w:trPr>
        <w:tc>
          <w:tcPr>
            <w:tcW w:w="3478" w:type="dxa"/>
          </w:tcPr>
          <w:p w14:paraId="040B59BD" w14:textId="77777777" w:rsidR="00A60797" w:rsidRDefault="00A60797" w:rsidP="00A60797"/>
        </w:tc>
        <w:tc>
          <w:tcPr>
            <w:tcW w:w="1793" w:type="dxa"/>
          </w:tcPr>
          <w:p w14:paraId="427E4721" w14:textId="77777777" w:rsidR="00A60797" w:rsidRDefault="00A60797" w:rsidP="00A60797"/>
        </w:tc>
        <w:tc>
          <w:tcPr>
            <w:tcW w:w="1749" w:type="dxa"/>
          </w:tcPr>
          <w:p w14:paraId="017BA1EC" w14:textId="77777777" w:rsidR="00A60797" w:rsidRDefault="00A60797" w:rsidP="00A60797"/>
        </w:tc>
        <w:tc>
          <w:tcPr>
            <w:tcW w:w="1769" w:type="dxa"/>
          </w:tcPr>
          <w:p w14:paraId="7EFF818B" w14:textId="77777777" w:rsidR="00A60797" w:rsidRDefault="00A60797" w:rsidP="00A60797"/>
        </w:tc>
        <w:tc>
          <w:tcPr>
            <w:tcW w:w="2096" w:type="dxa"/>
          </w:tcPr>
          <w:p w14:paraId="2B19B526" w14:textId="77777777" w:rsidR="00A60797" w:rsidRDefault="00A60797" w:rsidP="00A60797"/>
        </w:tc>
      </w:tr>
      <w:tr w:rsidR="00A60797" w14:paraId="57C3687E" w14:textId="77777777" w:rsidTr="00B7472E">
        <w:trPr>
          <w:trHeight w:val="557"/>
        </w:trPr>
        <w:tc>
          <w:tcPr>
            <w:tcW w:w="3478" w:type="dxa"/>
          </w:tcPr>
          <w:p w14:paraId="0B23CC58" w14:textId="77777777" w:rsidR="00A60797" w:rsidRDefault="00A60797" w:rsidP="00A60797"/>
        </w:tc>
        <w:tc>
          <w:tcPr>
            <w:tcW w:w="1793" w:type="dxa"/>
          </w:tcPr>
          <w:p w14:paraId="77631279" w14:textId="77777777" w:rsidR="00A60797" w:rsidRDefault="00A60797" w:rsidP="00A60797"/>
        </w:tc>
        <w:tc>
          <w:tcPr>
            <w:tcW w:w="1749" w:type="dxa"/>
          </w:tcPr>
          <w:p w14:paraId="2EC8A93D" w14:textId="77777777" w:rsidR="00A60797" w:rsidRDefault="00A60797" w:rsidP="00A60797"/>
        </w:tc>
        <w:tc>
          <w:tcPr>
            <w:tcW w:w="1769" w:type="dxa"/>
          </w:tcPr>
          <w:p w14:paraId="6311579C" w14:textId="77777777" w:rsidR="00A60797" w:rsidRDefault="00A60797" w:rsidP="00A60797"/>
        </w:tc>
        <w:tc>
          <w:tcPr>
            <w:tcW w:w="2096" w:type="dxa"/>
          </w:tcPr>
          <w:p w14:paraId="2B5ADC55" w14:textId="77777777" w:rsidR="00A60797" w:rsidRDefault="00A60797" w:rsidP="00A60797"/>
        </w:tc>
      </w:tr>
      <w:tr w:rsidR="00CE347C" w14:paraId="70F2B8D1" w14:textId="77777777" w:rsidTr="00B7472E">
        <w:trPr>
          <w:trHeight w:val="557"/>
        </w:trPr>
        <w:tc>
          <w:tcPr>
            <w:tcW w:w="10885" w:type="dxa"/>
            <w:gridSpan w:val="5"/>
            <w:tcBorders>
              <w:left w:val="nil"/>
              <w:bottom w:val="nil"/>
              <w:right w:val="nil"/>
            </w:tcBorders>
            <w:vAlign w:val="center"/>
          </w:tcPr>
          <w:p w14:paraId="1B38E696" w14:textId="58E727D1" w:rsidR="00CE347C" w:rsidRDefault="00CE347C" w:rsidP="00CB0A74">
            <w:pPr>
              <w:spacing w:before="60"/>
            </w:pPr>
            <w:r>
              <w:t xml:space="preserve">Direct above issues/action to relevant reporting body. </w:t>
            </w:r>
            <w:proofErr w:type="spellStart"/>
            <w:r>
              <w:t>Utilise</w:t>
            </w:r>
            <w:proofErr w:type="spellEnd"/>
            <w:r>
              <w:t xml:space="preserve"> when reviewing Infection Control Management Plan</w:t>
            </w:r>
          </w:p>
        </w:tc>
      </w:tr>
    </w:tbl>
    <w:p w14:paraId="4A97ACFB" w14:textId="4BA215B7" w:rsidR="00B8567D" w:rsidRDefault="00A60797" w:rsidP="00A60797">
      <w:pPr>
        <w:spacing w:before="60"/>
        <w:ind w:left="-990" w:firstLine="7"/>
      </w:pPr>
      <w:r w:rsidRPr="00F54CD5">
        <w:t xml:space="preserve"> </w:t>
      </w:r>
      <w:r w:rsidR="00F54CD5" w:rsidRPr="00F54CD5">
        <w:t xml:space="preserve">(National Patient Safety Agency (NHS). Learning through action to reduce infection. </w:t>
      </w:r>
      <w:hyperlink r:id="rId19" w:history="1">
        <w:r w:rsidR="00F54CD5" w:rsidRPr="00055386">
          <w:rPr>
            <w:rStyle w:val="Hyperlink"/>
          </w:rPr>
          <w:t>http://www.npsa.nhs.uk</w:t>
        </w:r>
      </w:hyperlink>
      <w:r w:rsidR="00F54CD5" w:rsidRPr="00F54CD5">
        <w:t xml:space="preserve"> – Internet access required)</w:t>
      </w:r>
      <w:r w:rsidR="00055386">
        <w:br w:type="page"/>
      </w:r>
    </w:p>
    <w:tbl>
      <w:tblPr>
        <w:tblpPr w:leftFromText="180" w:rightFromText="180" w:vertAnchor="text" w:tblpX="-1002" w:tblpY="16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6"/>
        <w:gridCol w:w="3799"/>
      </w:tblGrid>
      <w:tr w:rsidR="002E324A" w14:paraId="4B5D20F7" w14:textId="63281D2D" w:rsidTr="002E324A">
        <w:trPr>
          <w:trHeight w:val="611"/>
        </w:trPr>
        <w:tc>
          <w:tcPr>
            <w:tcW w:w="6996" w:type="dxa"/>
            <w:shd w:val="clear" w:color="auto" w:fill="81B2DE" w:themeFill="text2" w:themeFillTint="66"/>
            <w:vAlign w:val="center"/>
          </w:tcPr>
          <w:p w14:paraId="6D2BFB85" w14:textId="4F83C941" w:rsidR="002E324A" w:rsidRPr="002E324A" w:rsidRDefault="002E324A" w:rsidP="002E324A">
            <w:pPr>
              <w:jc w:val="center"/>
              <w:rPr>
                <w:rFonts w:ascii="Fira Sans SemiBold" w:hAnsi="Fira Sans SemiBold"/>
              </w:rPr>
            </w:pPr>
            <w:r w:rsidRPr="002E324A">
              <w:rPr>
                <w:rFonts w:ascii="Fira Sans SemiBold" w:hAnsi="Fira Sans SemiBold"/>
              </w:rPr>
              <w:lastRenderedPageBreak/>
              <w:t>Outcomes achieved</w:t>
            </w:r>
          </w:p>
        </w:tc>
        <w:tc>
          <w:tcPr>
            <w:tcW w:w="3799" w:type="dxa"/>
            <w:shd w:val="clear" w:color="auto" w:fill="81B2DE" w:themeFill="text2" w:themeFillTint="66"/>
            <w:vAlign w:val="center"/>
          </w:tcPr>
          <w:p w14:paraId="14F444A1" w14:textId="69292F52" w:rsidR="002E324A" w:rsidRPr="002E324A" w:rsidRDefault="002E324A" w:rsidP="002E324A">
            <w:pPr>
              <w:jc w:val="center"/>
              <w:rPr>
                <w:rFonts w:ascii="Fira Sans SemiBold" w:hAnsi="Fira Sans SemiBold"/>
              </w:rPr>
            </w:pPr>
            <w:r w:rsidRPr="002E324A">
              <w:rPr>
                <w:rFonts w:ascii="Fira Sans SemiBold" w:hAnsi="Fira Sans SemiBold"/>
              </w:rPr>
              <w:t>Reported to</w:t>
            </w:r>
          </w:p>
        </w:tc>
      </w:tr>
      <w:tr w:rsidR="002E324A" w14:paraId="54D8C290" w14:textId="6BDF40D7" w:rsidTr="002E324A">
        <w:trPr>
          <w:trHeight w:val="611"/>
        </w:trPr>
        <w:tc>
          <w:tcPr>
            <w:tcW w:w="6996" w:type="dxa"/>
          </w:tcPr>
          <w:p w14:paraId="20CF8973" w14:textId="77777777" w:rsidR="002E324A" w:rsidRDefault="002E324A" w:rsidP="002E324A"/>
        </w:tc>
        <w:tc>
          <w:tcPr>
            <w:tcW w:w="3799" w:type="dxa"/>
          </w:tcPr>
          <w:p w14:paraId="6EC7596F" w14:textId="77777777" w:rsidR="002E324A" w:rsidRDefault="002E324A" w:rsidP="002E324A"/>
        </w:tc>
      </w:tr>
      <w:tr w:rsidR="002E324A" w14:paraId="5EBE5F99" w14:textId="30B23E27" w:rsidTr="002E324A">
        <w:trPr>
          <w:trHeight w:val="611"/>
        </w:trPr>
        <w:tc>
          <w:tcPr>
            <w:tcW w:w="6996" w:type="dxa"/>
          </w:tcPr>
          <w:p w14:paraId="79161206" w14:textId="77777777" w:rsidR="002E324A" w:rsidRDefault="002E324A" w:rsidP="002E324A"/>
        </w:tc>
        <w:tc>
          <w:tcPr>
            <w:tcW w:w="3799" w:type="dxa"/>
          </w:tcPr>
          <w:p w14:paraId="410722CD" w14:textId="77777777" w:rsidR="002E324A" w:rsidRDefault="002E324A" w:rsidP="002E324A"/>
        </w:tc>
      </w:tr>
      <w:tr w:rsidR="002E324A" w14:paraId="3BF839FC" w14:textId="687C5055" w:rsidTr="002E324A">
        <w:trPr>
          <w:trHeight w:val="611"/>
        </w:trPr>
        <w:tc>
          <w:tcPr>
            <w:tcW w:w="6996" w:type="dxa"/>
          </w:tcPr>
          <w:p w14:paraId="17D75C2F" w14:textId="77777777" w:rsidR="002E324A" w:rsidRDefault="002E324A" w:rsidP="002E324A"/>
        </w:tc>
        <w:tc>
          <w:tcPr>
            <w:tcW w:w="3799" w:type="dxa"/>
          </w:tcPr>
          <w:p w14:paraId="0422B4CF" w14:textId="77777777" w:rsidR="002E324A" w:rsidRDefault="002E324A" w:rsidP="002E324A"/>
        </w:tc>
      </w:tr>
      <w:tr w:rsidR="002E324A" w14:paraId="38E3C220" w14:textId="58088FD5" w:rsidTr="002E324A">
        <w:trPr>
          <w:trHeight w:val="611"/>
        </w:trPr>
        <w:tc>
          <w:tcPr>
            <w:tcW w:w="6996" w:type="dxa"/>
          </w:tcPr>
          <w:p w14:paraId="5FF4440E" w14:textId="77777777" w:rsidR="002E324A" w:rsidRDefault="002E324A" w:rsidP="002E324A"/>
        </w:tc>
        <w:tc>
          <w:tcPr>
            <w:tcW w:w="3799" w:type="dxa"/>
          </w:tcPr>
          <w:p w14:paraId="5B82CD1F" w14:textId="77777777" w:rsidR="002E324A" w:rsidRDefault="002E324A" w:rsidP="002E324A"/>
        </w:tc>
      </w:tr>
      <w:tr w:rsidR="002E324A" w14:paraId="2B955FD6" w14:textId="6A2C8BBE" w:rsidTr="002E324A">
        <w:trPr>
          <w:trHeight w:val="611"/>
        </w:trPr>
        <w:tc>
          <w:tcPr>
            <w:tcW w:w="6996" w:type="dxa"/>
          </w:tcPr>
          <w:p w14:paraId="1C7ABC45" w14:textId="77777777" w:rsidR="002E324A" w:rsidRDefault="002E324A" w:rsidP="002E324A"/>
        </w:tc>
        <w:tc>
          <w:tcPr>
            <w:tcW w:w="3799" w:type="dxa"/>
          </w:tcPr>
          <w:p w14:paraId="49F9F0CF" w14:textId="77777777" w:rsidR="002E324A" w:rsidRDefault="002E324A" w:rsidP="002E324A"/>
        </w:tc>
      </w:tr>
    </w:tbl>
    <w:p w14:paraId="576822F4" w14:textId="008E8298" w:rsidR="00367488" w:rsidRDefault="002E324A" w:rsidP="00367488">
      <w:pPr>
        <w:spacing w:before="60"/>
        <w:ind w:left="-994"/>
      </w:pPr>
      <w:proofErr w:type="spellStart"/>
      <w:r w:rsidRPr="002E324A">
        <w:t>Utilise</w:t>
      </w:r>
      <w:proofErr w:type="spellEnd"/>
      <w:r w:rsidRPr="002E324A">
        <w:t xml:space="preserve"> outcomes during evaluation of Infection Control Management Plan or during accreditation process</w:t>
      </w:r>
      <w:r>
        <w:t>.</w:t>
      </w:r>
      <w:r w:rsidR="00367488">
        <w:br w:type="page"/>
      </w:r>
      <w:r w:rsidR="00367488" w:rsidRPr="00367488">
        <w:rPr>
          <w:rStyle w:val="Heading1Char"/>
        </w:rPr>
        <w:lastRenderedPageBreak/>
        <w:t>References</w:t>
      </w:r>
    </w:p>
    <w:p w14:paraId="5111DDCE" w14:textId="600529D4" w:rsidR="00367488" w:rsidRDefault="00367488" w:rsidP="00090ACD">
      <w:pPr>
        <w:spacing w:before="60"/>
        <w:ind w:left="-630" w:hanging="360"/>
      </w:pPr>
      <w:r>
        <w:t>1.</w:t>
      </w:r>
      <w:r>
        <w:tab/>
      </w:r>
      <w:proofErr w:type="spellStart"/>
      <w:r>
        <w:t>Hugill</w:t>
      </w:r>
      <w:proofErr w:type="spellEnd"/>
      <w:r>
        <w:t xml:space="preserve">, K., </w:t>
      </w:r>
      <w:r w:rsidRPr="003370A7">
        <w:rPr>
          <w:i/>
        </w:rPr>
        <w:t>Preventing bloodstream infection in IV therapy</w:t>
      </w:r>
      <w:r>
        <w:t xml:space="preserve">. British Journal </w:t>
      </w:r>
      <w:r w:rsidR="003370A7">
        <w:t>o</w:t>
      </w:r>
      <w:r>
        <w:t xml:space="preserve">f Nursing (Mark Allen </w:t>
      </w:r>
      <w:r w:rsidR="00090ACD">
        <w:t xml:space="preserve">  </w:t>
      </w:r>
      <w:r>
        <w:t>Publishing), 2017. 26(14): p. S4-S10.</w:t>
      </w:r>
    </w:p>
    <w:p w14:paraId="357708A5" w14:textId="77777777" w:rsidR="00367488" w:rsidRDefault="00367488" w:rsidP="00090ACD">
      <w:pPr>
        <w:spacing w:before="60"/>
        <w:ind w:left="-630" w:hanging="360"/>
      </w:pPr>
      <w:r>
        <w:t>2.</w:t>
      </w:r>
      <w:r>
        <w:tab/>
        <w:t xml:space="preserve">Shah, H., et al., </w:t>
      </w:r>
      <w:r w:rsidRPr="003370A7">
        <w:rPr>
          <w:i/>
        </w:rPr>
        <w:t>Intravascular Catheter-Related Bloodstream Infection</w:t>
      </w:r>
      <w:r>
        <w:t xml:space="preserve">. The </w:t>
      </w:r>
      <w:proofErr w:type="spellStart"/>
      <w:r>
        <w:t>Neurohospitalist</w:t>
      </w:r>
      <w:proofErr w:type="spellEnd"/>
      <w:r>
        <w:t>, 2013. 3(3): p. 144-151.</w:t>
      </w:r>
    </w:p>
    <w:p w14:paraId="32936F7E" w14:textId="77777777" w:rsidR="00367488" w:rsidRDefault="00367488" w:rsidP="00090ACD">
      <w:pPr>
        <w:spacing w:before="60"/>
        <w:ind w:left="-630" w:hanging="360"/>
      </w:pPr>
      <w:r>
        <w:t>3.</w:t>
      </w:r>
      <w:r>
        <w:tab/>
        <w:t xml:space="preserve">Naomi P. O'Grady, M.A., Lillian A. Burns, E. </w:t>
      </w:r>
      <w:proofErr w:type="spellStart"/>
      <w:r>
        <w:t>Patchen</w:t>
      </w:r>
      <w:proofErr w:type="spellEnd"/>
      <w:r>
        <w:t xml:space="preserve"> Dellinger, Jeffery Garland, M.D., Stephen O. Heard, Pamela A. Lipsett, Henry Masur, Leonard A. </w:t>
      </w:r>
      <w:proofErr w:type="spellStart"/>
      <w:r>
        <w:t>Mermel</w:t>
      </w:r>
      <w:proofErr w:type="spellEnd"/>
      <w:r>
        <w:t xml:space="preserve">, Michele L. Pearson, </w:t>
      </w:r>
      <w:proofErr w:type="spellStart"/>
      <w:r>
        <w:t>Issam</w:t>
      </w:r>
      <w:proofErr w:type="spellEnd"/>
      <w:r>
        <w:t xml:space="preserve"> I. </w:t>
      </w:r>
      <w:proofErr w:type="spellStart"/>
      <w:r>
        <w:t>Raad</w:t>
      </w:r>
      <w:proofErr w:type="spellEnd"/>
      <w:r>
        <w:t xml:space="preserve">, Adrienne Randolph, Mark E. Rupp, Sanjay Saint and the Healthcare Infection Control Practices Advisory Committee (HICPAC). </w:t>
      </w:r>
      <w:r w:rsidRPr="003370A7">
        <w:rPr>
          <w:i/>
        </w:rPr>
        <w:t>Guidelines for the Prevention of Intravascular Catheter-Related Infections, 2011</w:t>
      </w:r>
      <w:r>
        <w:t xml:space="preserve"> (2017 Update). 2011.</w:t>
      </w:r>
    </w:p>
    <w:p w14:paraId="5D290E89" w14:textId="77777777" w:rsidR="00367488" w:rsidRDefault="00367488" w:rsidP="00090ACD">
      <w:pPr>
        <w:spacing w:before="60"/>
        <w:ind w:left="-630" w:hanging="360"/>
      </w:pPr>
      <w:r>
        <w:t>4.</w:t>
      </w:r>
      <w:r>
        <w:tab/>
        <w:t xml:space="preserve">Ling, M.L., et al., </w:t>
      </w:r>
      <w:r w:rsidRPr="003370A7">
        <w:rPr>
          <w:i/>
        </w:rPr>
        <w:t>APSIC guide for prevention of Central Line Associated Bloodstream Infections (CLABSI)</w:t>
      </w:r>
      <w:r>
        <w:t>. Antimicrobial Resistance &amp; Infection Control, 2016. 5(1): p. 16.</w:t>
      </w:r>
    </w:p>
    <w:p w14:paraId="0B1F8ED7" w14:textId="41229DEE" w:rsidR="00367488" w:rsidRDefault="00367488" w:rsidP="00090ACD">
      <w:pPr>
        <w:spacing w:before="60"/>
        <w:ind w:left="-630" w:hanging="360"/>
      </w:pPr>
      <w:r>
        <w:t>5.</w:t>
      </w:r>
      <w:r>
        <w:tab/>
        <w:t xml:space="preserve">Jonas </w:t>
      </w:r>
      <w:proofErr w:type="spellStart"/>
      <w:r>
        <w:t>Marschall</w:t>
      </w:r>
      <w:proofErr w:type="spellEnd"/>
      <w:r>
        <w:t xml:space="preserve">, L.A.M., Mohamad Fakih, Lynn </w:t>
      </w:r>
      <w:proofErr w:type="spellStart"/>
      <w:r>
        <w:t>Hadaway</w:t>
      </w:r>
      <w:proofErr w:type="spellEnd"/>
      <w:r>
        <w:t xml:space="preserve">, Alexander </w:t>
      </w:r>
      <w:proofErr w:type="spellStart"/>
      <w:r>
        <w:t>Kallen</w:t>
      </w:r>
      <w:proofErr w:type="spellEnd"/>
      <w:r>
        <w:t xml:space="preserve">, Naomi P. O’Grady, AnnMarie Pettis, Mark E. Rupp, Thomas </w:t>
      </w:r>
      <w:proofErr w:type="spellStart"/>
      <w:r>
        <w:t>Sandora</w:t>
      </w:r>
      <w:proofErr w:type="spellEnd"/>
      <w:r>
        <w:t xml:space="preserve">, Lisa L. Maragakis, Deborah S. </w:t>
      </w:r>
      <w:proofErr w:type="spellStart"/>
      <w:r>
        <w:t>Yokoe</w:t>
      </w:r>
      <w:proofErr w:type="spellEnd"/>
      <w:r>
        <w:t xml:space="preserve">, </w:t>
      </w:r>
      <w:r w:rsidRPr="003370A7">
        <w:rPr>
          <w:i/>
        </w:rPr>
        <w:t>Strategies to Prevent Central Line–Associated Bloodstream Infections in Acute Care</w:t>
      </w:r>
      <w:r w:rsidR="003370A7">
        <w:rPr>
          <w:i/>
        </w:rPr>
        <w:t xml:space="preserve"> </w:t>
      </w:r>
      <w:r w:rsidRPr="003370A7">
        <w:rPr>
          <w:i/>
        </w:rPr>
        <w:t xml:space="preserve">Hospitals: 2014 Update. </w:t>
      </w:r>
      <w:r>
        <w:t>Infection Control and Hospital Epidemiology, 2014. 35(7): p. 753-771.</w:t>
      </w:r>
    </w:p>
    <w:p w14:paraId="54B78540" w14:textId="347EBF5E" w:rsidR="00367488" w:rsidRDefault="00367488" w:rsidP="00367488">
      <w:pPr>
        <w:spacing w:before="60"/>
        <w:ind w:left="-994"/>
      </w:pPr>
      <w:r>
        <w:t>6.</w:t>
      </w:r>
      <w:r>
        <w:tab/>
      </w:r>
      <w:r w:rsidR="00090ACD">
        <w:t xml:space="preserve"> </w:t>
      </w:r>
      <w:r>
        <w:t xml:space="preserve">Gorski, L.A., et al., </w:t>
      </w:r>
      <w:r w:rsidRPr="003370A7">
        <w:rPr>
          <w:i/>
        </w:rPr>
        <w:t>Infusion Therapy Standards of Practice 2016</w:t>
      </w:r>
      <w:r>
        <w:t>. 20160101.</w:t>
      </w:r>
    </w:p>
    <w:p w14:paraId="1F7FDC77" w14:textId="77777777" w:rsidR="00367488" w:rsidRDefault="00367488" w:rsidP="00090ACD">
      <w:pPr>
        <w:spacing w:before="60"/>
        <w:ind w:left="-630" w:hanging="364"/>
      </w:pPr>
      <w:r>
        <w:t>7.</w:t>
      </w:r>
      <w:r>
        <w:tab/>
        <w:t>Loveday, H.P., et al., epic3: N</w:t>
      </w:r>
      <w:r w:rsidRPr="003370A7">
        <w:rPr>
          <w:i/>
        </w:rPr>
        <w:t>ational Evidence-Based Guidelines for Preventing Healthcare-Associated Infections in NHS Hospitals in England.</w:t>
      </w:r>
      <w:r>
        <w:t xml:space="preserve"> Journal of Hospital Infection, 2014. 86: p. S1-S70.</w:t>
      </w:r>
    </w:p>
    <w:p w14:paraId="07399082" w14:textId="77777777" w:rsidR="00367488" w:rsidRDefault="00367488" w:rsidP="00090ACD">
      <w:pPr>
        <w:spacing w:before="60"/>
        <w:ind w:left="-630" w:hanging="360"/>
      </w:pPr>
      <w:r>
        <w:t>8.</w:t>
      </w:r>
      <w:r>
        <w:tab/>
      </w:r>
      <w:r w:rsidRPr="003370A7">
        <w:t>NHMRC</w:t>
      </w:r>
      <w:r w:rsidRPr="003370A7">
        <w:rPr>
          <w:i/>
        </w:rPr>
        <w:t>, Australian Guidelines for the Prevention and Control of Infection in Healthcare,</w:t>
      </w:r>
      <w:r>
        <w:t xml:space="preserve"> Commonwealth of Australia, Editor. 2010.</w:t>
      </w:r>
    </w:p>
    <w:p w14:paraId="46698572" w14:textId="77777777" w:rsidR="00367488" w:rsidRDefault="00367488" w:rsidP="00090ACD">
      <w:pPr>
        <w:spacing w:before="60"/>
        <w:ind w:left="-630" w:hanging="360"/>
      </w:pPr>
      <w:r>
        <w:t>9.</w:t>
      </w:r>
      <w:r>
        <w:tab/>
      </w:r>
      <w:r w:rsidRPr="003370A7">
        <w:rPr>
          <w:i/>
        </w:rPr>
        <w:t xml:space="preserve">World Health </w:t>
      </w:r>
      <w:proofErr w:type="spellStart"/>
      <w:r w:rsidRPr="003370A7">
        <w:rPr>
          <w:i/>
        </w:rPr>
        <w:t>Organisation</w:t>
      </w:r>
      <w:proofErr w:type="spellEnd"/>
      <w:r w:rsidRPr="003370A7">
        <w:rPr>
          <w:i/>
        </w:rPr>
        <w:t xml:space="preserve"> Standard precautions in health care.</w:t>
      </w:r>
      <w:r>
        <w:t xml:space="preserve"> Epidemic and Pandemic Alert Response, 2007.</w:t>
      </w:r>
    </w:p>
    <w:p w14:paraId="5931456C" w14:textId="154450CA" w:rsidR="00367488" w:rsidRDefault="00367488" w:rsidP="00090ACD">
      <w:pPr>
        <w:spacing w:before="60"/>
        <w:ind w:left="-630" w:hanging="360"/>
      </w:pPr>
      <w:r>
        <w:t>10.</w:t>
      </w:r>
      <w:r>
        <w:tab/>
        <w:t xml:space="preserve">CDC. </w:t>
      </w:r>
      <w:r w:rsidRPr="003370A7">
        <w:rPr>
          <w:i/>
        </w:rPr>
        <w:t>Standard Precautions for All Patient Care. 2016 26 January 2016</w:t>
      </w:r>
      <w:r>
        <w:t xml:space="preserve"> [cited 2018 9 March 2018]; Available from: </w:t>
      </w:r>
      <w:hyperlink r:id="rId20" w:history="1">
        <w:r w:rsidRPr="00E65418">
          <w:rPr>
            <w:rStyle w:val="Hyperlink"/>
          </w:rPr>
          <w:t>https://www.cdc.gov/infectioncontrol/basics/standard-precautions.html</w:t>
        </w:r>
      </w:hyperlink>
      <w:r>
        <w:t>.</w:t>
      </w:r>
    </w:p>
    <w:p w14:paraId="5241265C" w14:textId="2A8CC8D3" w:rsidR="00367488" w:rsidRDefault="00367488" w:rsidP="00090ACD">
      <w:pPr>
        <w:spacing w:before="60"/>
        <w:ind w:left="-630" w:hanging="360"/>
      </w:pPr>
      <w:r>
        <w:t>11.</w:t>
      </w:r>
      <w:r>
        <w:tab/>
        <w:t xml:space="preserve">CDC. </w:t>
      </w:r>
      <w:r w:rsidRPr="003370A7">
        <w:rPr>
          <w:i/>
        </w:rPr>
        <w:t>Transmission-Based Precautions. 2016 28 February 2017</w:t>
      </w:r>
      <w:r>
        <w:t xml:space="preserve"> [cited 2018 9 March 2018]; Available from: </w:t>
      </w:r>
      <w:hyperlink r:id="rId21" w:history="1">
        <w:r w:rsidRPr="00E65418">
          <w:rPr>
            <w:rStyle w:val="Hyperlink"/>
          </w:rPr>
          <w:t>https://www.cdc.gov/infectioncontrol/basics/transmission-based-precautions.html</w:t>
        </w:r>
      </w:hyperlink>
      <w:r>
        <w:t>.</w:t>
      </w:r>
    </w:p>
    <w:p w14:paraId="2869875E" w14:textId="641A543D" w:rsidR="00367488" w:rsidRDefault="00367488" w:rsidP="00090ACD">
      <w:pPr>
        <w:spacing w:before="60"/>
        <w:ind w:left="-630" w:hanging="360"/>
      </w:pPr>
      <w:r>
        <w:t>12.</w:t>
      </w:r>
      <w:r>
        <w:tab/>
        <w:t xml:space="preserve">ACSHQ, </w:t>
      </w:r>
      <w:r w:rsidRPr="003370A7">
        <w:rPr>
          <w:i/>
        </w:rPr>
        <w:t>Australian Guidelines for the Prevention and Control of Infection in Healthcare.,</w:t>
      </w:r>
      <w:r>
        <w:t xml:space="preserve"> </w:t>
      </w:r>
      <w:proofErr w:type="spellStart"/>
      <w:r>
        <w:t>N.H.a.M.R</w:t>
      </w:r>
      <w:proofErr w:type="spellEnd"/>
      <w:r>
        <w:t>. Council, Editor. 2010.</w:t>
      </w:r>
    </w:p>
    <w:p w14:paraId="737AE2DC" w14:textId="30DE60BB" w:rsidR="00367488" w:rsidRDefault="00367488" w:rsidP="003F4465">
      <w:pPr>
        <w:spacing w:before="60"/>
        <w:ind w:left="-630" w:hanging="364"/>
      </w:pPr>
      <w:r>
        <w:t>13.</w:t>
      </w:r>
      <w:r>
        <w:tab/>
        <w:t xml:space="preserve">Hand Hygiene Australia. </w:t>
      </w:r>
      <w:r w:rsidRPr="00B449E6">
        <w:rPr>
          <w:i/>
        </w:rPr>
        <w:t xml:space="preserve">Five moments for hand </w:t>
      </w:r>
      <w:proofErr w:type="spellStart"/>
      <w:r w:rsidRPr="00B449E6">
        <w:rPr>
          <w:i/>
        </w:rPr>
        <w:t>hygeine</w:t>
      </w:r>
      <w:proofErr w:type="spellEnd"/>
      <w:r w:rsidRPr="00B449E6">
        <w:rPr>
          <w:i/>
        </w:rPr>
        <w:t>.</w:t>
      </w:r>
      <w:r>
        <w:t xml:space="preserve"> 2018  [cited 2018 13 February]; Available </w:t>
      </w:r>
      <w:r w:rsidR="003F4465">
        <w:t xml:space="preserve"> </w:t>
      </w:r>
      <w:r>
        <w:t xml:space="preserve">from: </w:t>
      </w:r>
      <w:hyperlink r:id="rId22" w:history="1">
        <w:r w:rsidRPr="003370A7">
          <w:rPr>
            <w:rStyle w:val="Hyperlink"/>
          </w:rPr>
          <w:t>http://www.hha.org.au/home/5-moments-for-hand-hygiene.aspx</w:t>
        </w:r>
      </w:hyperlink>
      <w:r>
        <w:t>.</w:t>
      </w:r>
    </w:p>
    <w:p w14:paraId="4C5DF739" w14:textId="77777777" w:rsidR="00367488" w:rsidRDefault="00367488" w:rsidP="003F4465">
      <w:pPr>
        <w:spacing w:before="60"/>
        <w:ind w:left="-630" w:hanging="360"/>
      </w:pPr>
      <w:r>
        <w:t>14.</w:t>
      </w:r>
      <w:r>
        <w:tab/>
        <w:t xml:space="preserve">Australian New Zealand Intensive Care Society, </w:t>
      </w:r>
      <w:r w:rsidRPr="00B449E6">
        <w:rPr>
          <w:i/>
        </w:rPr>
        <w:t xml:space="preserve">Central Line Insertion and Maintenance Guideline. </w:t>
      </w:r>
      <w:r>
        <w:t>ANZICS Safety and Quality Committee, 2012.</w:t>
      </w:r>
    </w:p>
    <w:p w14:paraId="4BE235B9" w14:textId="77777777" w:rsidR="00367488" w:rsidRDefault="00367488" w:rsidP="003F4465">
      <w:pPr>
        <w:spacing w:before="60"/>
        <w:ind w:left="-630" w:hanging="364"/>
      </w:pPr>
      <w:r>
        <w:t>15.</w:t>
      </w:r>
      <w:r>
        <w:tab/>
        <w:t xml:space="preserve">Conley, S.B., </w:t>
      </w:r>
      <w:r w:rsidRPr="00B449E6">
        <w:rPr>
          <w:i/>
        </w:rPr>
        <w:t>Central Line-Associated Bloodstream Infection Prevention: Standardizing Practice Focused on Evidence-Based Guidelines.</w:t>
      </w:r>
      <w:r>
        <w:t xml:space="preserve"> Clinical Journal of Oncology Nursing, 2016. 20(1): p. 23-26.</w:t>
      </w:r>
    </w:p>
    <w:p w14:paraId="4033E940" w14:textId="31B06005" w:rsidR="00367488" w:rsidRDefault="00367488" w:rsidP="003F4465">
      <w:pPr>
        <w:spacing w:before="60"/>
        <w:ind w:left="-630" w:hanging="360"/>
      </w:pPr>
      <w:r>
        <w:t>16.</w:t>
      </w:r>
      <w:r>
        <w:tab/>
      </w:r>
      <w:proofErr w:type="spellStart"/>
      <w:r>
        <w:t>Desra</w:t>
      </w:r>
      <w:proofErr w:type="spellEnd"/>
      <w:r>
        <w:t xml:space="preserve">, A.P., et al., </w:t>
      </w:r>
      <w:r w:rsidRPr="00B449E6">
        <w:rPr>
          <w:i/>
        </w:rPr>
        <w:t xml:space="preserve">Aseptic technique for accessing central venous catheters: applying a </w:t>
      </w:r>
      <w:proofErr w:type="spellStart"/>
      <w:r w:rsidRPr="00B449E6">
        <w:rPr>
          <w:i/>
        </w:rPr>
        <w:t>standardised</w:t>
      </w:r>
      <w:proofErr w:type="spellEnd"/>
      <w:r w:rsidRPr="00B449E6">
        <w:rPr>
          <w:i/>
        </w:rPr>
        <w:t xml:space="preserve"> tool to audit 'scrub the hub' practices.</w:t>
      </w:r>
      <w:r>
        <w:t xml:space="preserve"> The Journal </w:t>
      </w:r>
      <w:r w:rsidR="00B449E6">
        <w:t>o</w:t>
      </w:r>
      <w:r>
        <w:t>f Vascular Access, 2016. 17(3): p. 269-272.</w:t>
      </w:r>
    </w:p>
    <w:p w14:paraId="22881D6F" w14:textId="77777777" w:rsidR="00367488" w:rsidRDefault="00367488" w:rsidP="003F4465">
      <w:pPr>
        <w:spacing w:before="60"/>
        <w:ind w:left="-630" w:hanging="360"/>
      </w:pPr>
      <w:r>
        <w:t>17.</w:t>
      </w:r>
      <w:r>
        <w:tab/>
        <w:t xml:space="preserve">Sue Barnes, R.N.O., Elizabeth </w:t>
      </w:r>
      <w:proofErr w:type="spellStart"/>
      <w:r>
        <w:t>Monsees</w:t>
      </w:r>
      <w:proofErr w:type="spellEnd"/>
      <w:r>
        <w:t xml:space="preserve">, Jo Ellen Harris, </w:t>
      </w:r>
      <w:proofErr w:type="spellStart"/>
      <w:r>
        <w:t>Raed</w:t>
      </w:r>
      <w:proofErr w:type="spellEnd"/>
      <w:r>
        <w:t xml:space="preserve"> Khoury, Lynn </w:t>
      </w:r>
      <w:proofErr w:type="spellStart"/>
      <w:r>
        <w:t>Hadaway</w:t>
      </w:r>
      <w:proofErr w:type="spellEnd"/>
      <w:r>
        <w:t xml:space="preserve">, Gemma Downham, </w:t>
      </w:r>
      <w:r w:rsidRPr="00B449E6">
        <w:rPr>
          <w:i/>
        </w:rPr>
        <w:t>Guide to Preventing Central Line-Associated Bloodstream Infections.</w:t>
      </w:r>
      <w:r>
        <w:t xml:space="preserve"> APIC Implementation Guide, 2015.</w:t>
      </w:r>
    </w:p>
    <w:p w14:paraId="5ADDF55A" w14:textId="2E40906D" w:rsidR="00367488" w:rsidRDefault="00367488" w:rsidP="003F4465">
      <w:pPr>
        <w:spacing w:before="60"/>
        <w:ind w:left="-630" w:hanging="360"/>
      </w:pPr>
      <w:r>
        <w:t>18.</w:t>
      </w:r>
      <w:r>
        <w:tab/>
        <w:t xml:space="preserve">Hand Hygiene Australia. Welcome to </w:t>
      </w:r>
      <w:r w:rsidRPr="00B449E6">
        <w:rPr>
          <w:i/>
        </w:rPr>
        <w:t xml:space="preserve">Hand </w:t>
      </w:r>
      <w:proofErr w:type="spellStart"/>
      <w:r w:rsidRPr="00B449E6">
        <w:rPr>
          <w:i/>
        </w:rPr>
        <w:t>Hygeine</w:t>
      </w:r>
      <w:proofErr w:type="spellEnd"/>
      <w:r w:rsidRPr="00B449E6">
        <w:rPr>
          <w:i/>
        </w:rPr>
        <w:t xml:space="preserve"> Australia. </w:t>
      </w:r>
      <w:r>
        <w:t xml:space="preserve">2018 [cited 2018 13 February]; Available from: </w:t>
      </w:r>
      <w:hyperlink r:id="rId23" w:history="1">
        <w:r w:rsidRPr="003370A7">
          <w:rPr>
            <w:rStyle w:val="Hyperlink"/>
          </w:rPr>
          <w:t>http://www.hha.org.au/home.aspx</w:t>
        </w:r>
      </w:hyperlink>
      <w:r>
        <w:t>.</w:t>
      </w:r>
    </w:p>
    <w:p w14:paraId="101A6938" w14:textId="4CE60230" w:rsidR="00367488" w:rsidRDefault="00367488" w:rsidP="003F4465">
      <w:pPr>
        <w:spacing w:before="60"/>
        <w:ind w:left="-630" w:hanging="364"/>
      </w:pPr>
      <w:r>
        <w:lastRenderedPageBreak/>
        <w:t>19.</w:t>
      </w:r>
      <w:r>
        <w:tab/>
      </w:r>
      <w:proofErr w:type="spellStart"/>
      <w:r>
        <w:t>Mermel</w:t>
      </w:r>
      <w:proofErr w:type="spellEnd"/>
      <w:r>
        <w:t xml:space="preserve">, L.A., </w:t>
      </w:r>
      <w:r w:rsidRPr="00B449E6">
        <w:rPr>
          <w:i/>
        </w:rPr>
        <w:t xml:space="preserve">What Is </w:t>
      </w:r>
      <w:r w:rsidR="00B449E6" w:rsidRPr="00B449E6">
        <w:rPr>
          <w:i/>
        </w:rPr>
        <w:t>t</w:t>
      </w:r>
      <w:r w:rsidRPr="00B449E6">
        <w:rPr>
          <w:i/>
        </w:rPr>
        <w:t>he Predominant Source of Intravascular Catheter Infections?</w:t>
      </w:r>
      <w:r>
        <w:t xml:space="preserve"> Clinical Infectious Diseases, 2011. 52(2): p. 211-212.</w:t>
      </w:r>
    </w:p>
    <w:p w14:paraId="604355EB" w14:textId="77777777" w:rsidR="00367488" w:rsidRDefault="00367488" w:rsidP="003F4465">
      <w:pPr>
        <w:spacing w:before="60"/>
        <w:ind w:left="-630" w:hanging="360"/>
      </w:pPr>
      <w:r>
        <w:t>20.</w:t>
      </w:r>
      <w:r>
        <w:tab/>
        <w:t xml:space="preserve">Standards Australia, </w:t>
      </w:r>
      <w:r w:rsidRPr="00B449E6">
        <w:rPr>
          <w:i/>
        </w:rPr>
        <w:t>Reprocessing of reusable medical devices in health service organizations (AS/NZS 4187:2014). 2014:</w:t>
      </w:r>
      <w:r>
        <w:t xml:space="preserve"> </w:t>
      </w:r>
      <w:proofErr w:type="spellStart"/>
      <w:r>
        <w:t>Retreived</w:t>
      </w:r>
      <w:proofErr w:type="spellEnd"/>
      <w:r>
        <w:t xml:space="preserve"> from Australian Standards Online.</w:t>
      </w:r>
    </w:p>
    <w:p w14:paraId="12440AA4" w14:textId="77777777" w:rsidR="00367488" w:rsidRDefault="00367488" w:rsidP="003F4465">
      <w:pPr>
        <w:spacing w:before="60"/>
        <w:ind w:left="-630" w:hanging="364"/>
      </w:pPr>
      <w:r>
        <w:t>21.</w:t>
      </w:r>
      <w:r>
        <w:tab/>
        <w:t xml:space="preserve">ACSQHC, </w:t>
      </w:r>
      <w:r w:rsidRPr="00B449E6">
        <w:rPr>
          <w:i/>
        </w:rPr>
        <w:t>National Safety and Quality Health Service Standards 2nd Edition.,</w:t>
      </w:r>
      <w:r>
        <w:t xml:space="preserve"> Australian Commission on Safety and Quality in Health Care, Editor. 2017: Sydney.</w:t>
      </w:r>
    </w:p>
    <w:p w14:paraId="5758E921" w14:textId="0074B9D5" w:rsidR="00367488" w:rsidRDefault="00367488" w:rsidP="003F4465">
      <w:pPr>
        <w:spacing w:before="60"/>
        <w:ind w:left="-630" w:hanging="360"/>
      </w:pPr>
      <w:r>
        <w:t>22.</w:t>
      </w:r>
      <w:r>
        <w:tab/>
        <w:t xml:space="preserve">Chopra, V., et al., </w:t>
      </w:r>
      <w:r w:rsidRPr="00B449E6">
        <w:rPr>
          <w:i/>
        </w:rPr>
        <w:t>The Michigan Appropriateness Guide for Intravenous Catheters</w:t>
      </w:r>
      <w:r>
        <w:t xml:space="preserve"> (MAGIC): Results </w:t>
      </w:r>
      <w:r w:rsidR="00E65418">
        <w:t>f</w:t>
      </w:r>
      <w:r>
        <w:t xml:space="preserve">rom a </w:t>
      </w:r>
      <w:r w:rsidRPr="00B449E6">
        <w:rPr>
          <w:i/>
        </w:rPr>
        <w:t>Multispecialty Panel Using the RAND/UCLA Appropriateness Method</w:t>
      </w:r>
      <w:r>
        <w:t>. Ann Intern Med, 2015. 163(6 Suppl): p. S1-40.</w:t>
      </w:r>
    </w:p>
    <w:p w14:paraId="08F46FA2" w14:textId="77777777" w:rsidR="00367488" w:rsidRDefault="00367488" w:rsidP="003F4465">
      <w:pPr>
        <w:spacing w:before="60"/>
        <w:ind w:left="-630" w:hanging="364"/>
      </w:pPr>
      <w:r>
        <w:t>23.</w:t>
      </w:r>
      <w:r>
        <w:tab/>
        <w:t xml:space="preserve">Ge, X., et al., </w:t>
      </w:r>
      <w:r w:rsidRPr="00B449E6">
        <w:rPr>
          <w:i/>
        </w:rPr>
        <w:t xml:space="preserve">Central venous access </w:t>
      </w:r>
      <w:r>
        <w:t>sites for the prevention of venous thrombosis, stenosis and infection. Cochrane Database Syst Rev, 2012(3): p. CD004084.</w:t>
      </w:r>
    </w:p>
    <w:p w14:paraId="246B48C2" w14:textId="77777777" w:rsidR="00367488" w:rsidRDefault="00367488" w:rsidP="003F4465">
      <w:pPr>
        <w:spacing w:before="60"/>
        <w:ind w:left="-630" w:hanging="364"/>
      </w:pPr>
      <w:r>
        <w:t>24.</w:t>
      </w:r>
      <w:r>
        <w:tab/>
        <w:t xml:space="preserve">Lai, N.M., et al., </w:t>
      </w:r>
      <w:r w:rsidRPr="00B449E6">
        <w:rPr>
          <w:i/>
        </w:rPr>
        <w:t>Skin antisepsis for reducing central venous catheter-related infections.</w:t>
      </w:r>
      <w:r>
        <w:t xml:space="preserve"> Cochrane Database of Systematic Reviews, 2016(7).</w:t>
      </w:r>
    </w:p>
    <w:p w14:paraId="42D30914" w14:textId="77777777" w:rsidR="00367488" w:rsidRDefault="00367488" w:rsidP="003F4465">
      <w:pPr>
        <w:spacing w:before="60"/>
        <w:ind w:left="-630" w:hanging="360"/>
      </w:pPr>
      <w:r>
        <w:t>25.</w:t>
      </w:r>
      <w:r>
        <w:tab/>
        <w:t xml:space="preserve">Casey, A.L., et al., </w:t>
      </w:r>
      <w:r w:rsidRPr="00B449E6">
        <w:rPr>
          <w:i/>
        </w:rPr>
        <w:t>Skin antisepsis: it's not only what you use, it's the way that you use it.</w:t>
      </w:r>
      <w:r>
        <w:t xml:space="preserve"> J Hosp Infect, 2017. 96(3): p. 221-222.</w:t>
      </w:r>
    </w:p>
    <w:p w14:paraId="35100C7F" w14:textId="192FC52D" w:rsidR="00367488" w:rsidRDefault="00367488" w:rsidP="003F4465">
      <w:pPr>
        <w:spacing w:before="60"/>
        <w:ind w:left="-630" w:hanging="364"/>
      </w:pPr>
      <w:r>
        <w:t>26.</w:t>
      </w:r>
      <w:r>
        <w:tab/>
        <w:t xml:space="preserve">Hitchcock, J. and L. </w:t>
      </w:r>
      <w:proofErr w:type="spellStart"/>
      <w:r>
        <w:t>Savine</w:t>
      </w:r>
      <w:proofErr w:type="spellEnd"/>
      <w:r>
        <w:t xml:space="preserve">, </w:t>
      </w:r>
      <w:r w:rsidRPr="00B449E6">
        <w:rPr>
          <w:i/>
        </w:rPr>
        <w:t>Medical adhesive-related skin injuries associated with vascular access</w:t>
      </w:r>
      <w:r>
        <w:t xml:space="preserve">. British Journal </w:t>
      </w:r>
      <w:r w:rsidR="00B449E6">
        <w:t>o</w:t>
      </w:r>
      <w:r>
        <w:t>f Nursing (Mark Allen Publishing), 2017. 26(8): p. S4-S12.</w:t>
      </w:r>
    </w:p>
    <w:p w14:paraId="43BC41DF" w14:textId="77777777" w:rsidR="00367488" w:rsidRDefault="00367488" w:rsidP="003F4465">
      <w:pPr>
        <w:spacing w:before="60"/>
        <w:ind w:left="-630" w:hanging="364"/>
      </w:pPr>
      <w:r>
        <w:t>27.</w:t>
      </w:r>
      <w:r>
        <w:tab/>
        <w:t xml:space="preserve">Marsh, N., et al., </w:t>
      </w:r>
      <w:r w:rsidRPr="00B449E6">
        <w:rPr>
          <w:i/>
        </w:rPr>
        <w:t>Devices and dressings to secure peripheral venous catheters</w:t>
      </w:r>
      <w:r>
        <w:t xml:space="preserve">: </w:t>
      </w:r>
      <w:r w:rsidRPr="00B449E6">
        <w:rPr>
          <w:i/>
        </w:rPr>
        <w:t>A Cochrane systematic review and meta-analysis.</w:t>
      </w:r>
      <w:r>
        <w:t xml:space="preserve"> Int J </w:t>
      </w:r>
      <w:proofErr w:type="spellStart"/>
      <w:r>
        <w:t>Nurs</w:t>
      </w:r>
      <w:proofErr w:type="spellEnd"/>
      <w:r>
        <w:t xml:space="preserve"> Stud, 2017. 67: p. 12-19.</w:t>
      </w:r>
    </w:p>
    <w:p w14:paraId="2837EAC5" w14:textId="77777777" w:rsidR="00367488" w:rsidRDefault="00367488" w:rsidP="003F4465">
      <w:pPr>
        <w:spacing w:before="60"/>
        <w:ind w:left="-630" w:hanging="364"/>
      </w:pPr>
      <w:r>
        <w:t>28.</w:t>
      </w:r>
      <w:r>
        <w:tab/>
        <w:t xml:space="preserve">Webster, J., et al., </w:t>
      </w:r>
      <w:r w:rsidRPr="00B449E6">
        <w:rPr>
          <w:i/>
        </w:rPr>
        <w:t>Clinically-indicated replacement versus routine replacement of peripheral venous catheters.</w:t>
      </w:r>
      <w:r>
        <w:t xml:space="preserve"> Cochrane Database Syst Rev, 2015(8): p. CD007798.</w:t>
      </w:r>
    </w:p>
    <w:p w14:paraId="04364A7B" w14:textId="77777777" w:rsidR="00367488" w:rsidRDefault="00367488" w:rsidP="003F4465">
      <w:pPr>
        <w:spacing w:before="60"/>
        <w:ind w:left="-630" w:hanging="360"/>
      </w:pPr>
      <w:r>
        <w:t>29.</w:t>
      </w:r>
      <w:r>
        <w:tab/>
        <w:t xml:space="preserve">Centers for Disease Control and Prevention, </w:t>
      </w:r>
      <w:r w:rsidRPr="00B449E6">
        <w:rPr>
          <w:i/>
        </w:rPr>
        <w:t>2017 Recommendations on use of chlorhexidine-impregnated dressings for prevention of intravascular catheter-related infections:</w:t>
      </w:r>
      <w:r>
        <w:t xml:space="preserve"> </w:t>
      </w:r>
      <w:r w:rsidRPr="009A2E35">
        <w:rPr>
          <w:i/>
        </w:rPr>
        <w:t>An update to the 2011 guidelines for the prevention of intravascular catheter-related infections from the Centers for Disease Control and Prevention. 2017.</w:t>
      </w:r>
    </w:p>
    <w:p w14:paraId="31D40C07" w14:textId="77777777" w:rsidR="00367488" w:rsidRDefault="00367488" w:rsidP="003F4465">
      <w:pPr>
        <w:spacing w:before="60"/>
        <w:ind w:left="-630" w:hanging="360"/>
      </w:pPr>
      <w:r>
        <w:t>30.</w:t>
      </w:r>
      <w:r>
        <w:tab/>
        <w:t xml:space="preserve">Gavin, N.C., et al., </w:t>
      </w:r>
      <w:r w:rsidRPr="009A2E35">
        <w:rPr>
          <w:i/>
        </w:rPr>
        <w:t>Frequency of dressing changes for central venous access devices on catheter</w:t>
      </w:r>
      <w:r w:rsidRPr="009A2E35">
        <w:rPr>
          <w:rFonts w:ascii="Cambria Math" w:hAnsi="Cambria Math" w:cs="Cambria Math"/>
          <w:i/>
        </w:rPr>
        <w:t>‐</w:t>
      </w:r>
      <w:r w:rsidRPr="009A2E35">
        <w:rPr>
          <w:i/>
        </w:rPr>
        <w:t>related infections.</w:t>
      </w:r>
      <w:r>
        <w:t xml:space="preserve"> The Cochrane Library, 2016.</w:t>
      </w:r>
    </w:p>
    <w:p w14:paraId="2EDE3CFD" w14:textId="77777777" w:rsidR="00367488" w:rsidRDefault="00367488" w:rsidP="003F4465">
      <w:pPr>
        <w:spacing w:before="60"/>
        <w:ind w:left="-630" w:hanging="364"/>
      </w:pPr>
      <w:r>
        <w:t>31.</w:t>
      </w:r>
      <w:r>
        <w:tab/>
        <w:t xml:space="preserve">Flynn, J.M., et al., </w:t>
      </w:r>
      <w:r w:rsidRPr="009A2E35">
        <w:rPr>
          <w:i/>
        </w:rPr>
        <w:t xml:space="preserve">Alcohol Caps or Alcohol Swabs </w:t>
      </w:r>
      <w:proofErr w:type="gramStart"/>
      <w:r w:rsidRPr="009A2E35">
        <w:rPr>
          <w:i/>
        </w:rPr>
        <w:t>With</w:t>
      </w:r>
      <w:proofErr w:type="gramEnd"/>
      <w:r w:rsidRPr="009A2E35">
        <w:rPr>
          <w:i/>
        </w:rPr>
        <w:t xml:space="preserve"> and Without Chlorhexidine: An In Vitro Study of 648 Episodes of Intravenous Device Needleless Connector Decontamination. </w:t>
      </w:r>
      <w:r>
        <w:t>Infect Control Hosp Epidemiol, 2017. 38(5): p. 617-619.</w:t>
      </w:r>
    </w:p>
    <w:p w14:paraId="1ED68496" w14:textId="5F4DB4E7" w:rsidR="00367488" w:rsidRDefault="003F4465" w:rsidP="003F4465">
      <w:pPr>
        <w:spacing w:before="60"/>
        <w:ind w:left="-630" w:hanging="450"/>
      </w:pPr>
      <w:r>
        <w:t xml:space="preserve"> </w:t>
      </w:r>
      <w:r w:rsidR="00367488">
        <w:t>32.</w:t>
      </w:r>
      <w:r w:rsidR="00367488">
        <w:tab/>
      </w:r>
      <w:r w:rsidR="009A2E35" w:rsidRPr="009A2E35">
        <w:t xml:space="preserve">Merrill, K.C., et al., </w:t>
      </w:r>
      <w:r w:rsidR="009A2E35" w:rsidRPr="009A2E35">
        <w:rPr>
          <w:i/>
        </w:rPr>
        <w:t>Major article: Impact of universal disinfectant cap implementation on central line–associated bloodstream infections.</w:t>
      </w:r>
      <w:r w:rsidR="009A2E35" w:rsidRPr="009A2E35">
        <w:t xml:space="preserve"> AJIC: American Journal of Infection Control, 2014. 42: p. 1274-1277.</w:t>
      </w:r>
    </w:p>
    <w:p w14:paraId="26A93DB1" w14:textId="403804E9" w:rsidR="00367488" w:rsidRDefault="003F4465" w:rsidP="003F4465">
      <w:pPr>
        <w:spacing w:before="60"/>
        <w:ind w:left="-630" w:hanging="450"/>
      </w:pPr>
      <w:r>
        <w:t xml:space="preserve"> </w:t>
      </w:r>
      <w:r w:rsidR="00367488">
        <w:t>33.</w:t>
      </w:r>
      <w:r w:rsidR="00367488">
        <w:tab/>
        <w:t xml:space="preserve">Keogh, S., et al., </w:t>
      </w:r>
      <w:r w:rsidR="00367488" w:rsidRPr="009A2E35">
        <w:rPr>
          <w:i/>
        </w:rPr>
        <w:t xml:space="preserve">Varied flushing frequency and volume to prevent peripheral intravenous catheter failure: a pilot, factorial </w:t>
      </w:r>
      <w:proofErr w:type="spellStart"/>
      <w:r w:rsidR="00367488" w:rsidRPr="009A2E35">
        <w:rPr>
          <w:i/>
        </w:rPr>
        <w:t>randomised</w:t>
      </w:r>
      <w:proofErr w:type="spellEnd"/>
      <w:r w:rsidR="00367488" w:rsidRPr="009A2E35">
        <w:rPr>
          <w:i/>
        </w:rPr>
        <w:t xml:space="preserve"> controlled trial in adult medical-surgical hospital patients. </w:t>
      </w:r>
      <w:r w:rsidR="00367488">
        <w:t>Trials, 2016. 17: p. 1.</w:t>
      </w:r>
    </w:p>
    <w:p w14:paraId="45B088EA" w14:textId="40212EE5" w:rsidR="00367488" w:rsidRDefault="003F4465" w:rsidP="003F4465">
      <w:pPr>
        <w:spacing w:before="60"/>
        <w:ind w:left="-630" w:hanging="450"/>
      </w:pPr>
      <w:r>
        <w:t xml:space="preserve"> </w:t>
      </w:r>
      <w:r w:rsidR="00367488">
        <w:t>34.</w:t>
      </w:r>
      <w:r w:rsidR="00367488">
        <w:tab/>
        <w:t xml:space="preserve">DeVries, M., M. Valentine, and P. Mancos, </w:t>
      </w:r>
      <w:r w:rsidR="00367488" w:rsidRPr="009A2E35">
        <w:rPr>
          <w:i/>
        </w:rPr>
        <w:t>Protected Clinical Indication of Peripheral Intravenous Lines: Successful Implementation</w:t>
      </w:r>
      <w:r w:rsidR="00367488">
        <w:t>. Journal of the Association for Vascular Access, 2016. 21(2): p. 89-92.</w:t>
      </w:r>
    </w:p>
    <w:p w14:paraId="4662DB2A" w14:textId="77777777" w:rsidR="00B6652C" w:rsidRPr="00117EAE" w:rsidRDefault="00B6652C" w:rsidP="002E324A">
      <w:pPr>
        <w:spacing w:before="60"/>
        <w:ind w:left="-994"/>
      </w:pPr>
    </w:p>
    <w:sectPr w:rsidR="00B6652C" w:rsidRPr="00117EAE" w:rsidSect="002961F3">
      <w:footerReference w:type="default" r:id="rId24"/>
      <w:footerReference w:type="first" r:id="rId25"/>
      <w:pgSz w:w="11906" w:h="16838" w:code="9"/>
      <w:pgMar w:top="0" w:right="1556" w:bottom="1170"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DEE0" w14:textId="77777777" w:rsidR="006B48CA" w:rsidRDefault="006B48CA" w:rsidP="005655C9">
      <w:pPr>
        <w:spacing w:line="240" w:lineRule="auto"/>
      </w:pPr>
      <w:r>
        <w:separator/>
      </w:r>
    </w:p>
    <w:p w14:paraId="7B3016D5" w14:textId="77777777" w:rsidR="006B48CA" w:rsidRDefault="006B48CA"/>
    <w:p w14:paraId="7EE8D2F3" w14:textId="77777777" w:rsidR="006B48CA" w:rsidRDefault="006B48CA" w:rsidP="00952B5B"/>
    <w:p w14:paraId="44F1B1EF" w14:textId="77777777" w:rsidR="006B48CA" w:rsidRDefault="006B48CA" w:rsidP="00952B5B"/>
    <w:p w14:paraId="0743E8D5" w14:textId="77777777" w:rsidR="006B48CA" w:rsidRDefault="006B48CA"/>
    <w:p w14:paraId="5347E009" w14:textId="77777777" w:rsidR="006B48CA" w:rsidRDefault="006B48CA"/>
    <w:p w14:paraId="076A9D01" w14:textId="77777777" w:rsidR="006B48CA" w:rsidRDefault="006B48CA"/>
    <w:p w14:paraId="2015D9C6" w14:textId="77777777" w:rsidR="006B48CA" w:rsidRDefault="006B48CA"/>
  </w:endnote>
  <w:endnote w:type="continuationSeparator" w:id="0">
    <w:p w14:paraId="019D55EB" w14:textId="77777777" w:rsidR="006B48CA" w:rsidRDefault="006B48CA" w:rsidP="005655C9">
      <w:pPr>
        <w:spacing w:line="240" w:lineRule="auto"/>
      </w:pPr>
      <w:r>
        <w:continuationSeparator/>
      </w:r>
    </w:p>
    <w:p w14:paraId="0BF5B945" w14:textId="77777777" w:rsidR="006B48CA" w:rsidRDefault="006B48CA"/>
    <w:p w14:paraId="6CD14113" w14:textId="77777777" w:rsidR="006B48CA" w:rsidRDefault="006B48CA" w:rsidP="00952B5B"/>
    <w:p w14:paraId="32BA5F86" w14:textId="77777777" w:rsidR="006B48CA" w:rsidRDefault="006B48CA" w:rsidP="00952B5B"/>
    <w:p w14:paraId="32EF6E86" w14:textId="77777777" w:rsidR="006B48CA" w:rsidRDefault="006B48CA"/>
    <w:p w14:paraId="266FD22A" w14:textId="77777777" w:rsidR="006B48CA" w:rsidRDefault="006B48CA"/>
    <w:p w14:paraId="2ADE53AD" w14:textId="77777777" w:rsidR="006B48CA" w:rsidRDefault="006B48CA"/>
    <w:p w14:paraId="2E3CD317" w14:textId="77777777" w:rsidR="006B48CA" w:rsidRDefault="006B4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F4CB" w14:textId="60353B42" w:rsidR="002961F3" w:rsidRDefault="005159B5" w:rsidP="00D04CCC">
    <w:pPr>
      <w:pStyle w:val="Footer"/>
      <w:tabs>
        <w:tab w:val="clear" w:pos="4513"/>
        <w:tab w:val="center" w:pos="5245"/>
      </w:tabs>
    </w:pPr>
    <w:sdt>
      <w:sdtPr>
        <w:alias w:val="Title"/>
        <w:tag w:val=""/>
        <w:id w:val="-1526777052"/>
        <w:dataBinding w:prefixMappings="xmlns:ns0='http://purl.org/dc/elements/1.1/' xmlns:ns1='http://schemas.openxmlformats.org/package/2006/metadata/core-properties' " w:xpath="/ns1:coreProperties[1]/ns0:title[1]" w:storeItemID="{6C3C8BC8-F283-45AE-878A-BAB7291924A1}"/>
        <w:text/>
      </w:sdtPr>
      <w:sdtEndPr/>
      <w:sdtContent>
        <w:r w:rsidR="002961F3">
          <w:t>Recommendations for the prevention of infection in intra-vascular devices</w:t>
        </w:r>
      </w:sdtContent>
    </w:sdt>
    <w:r w:rsidR="002961F3">
      <w:t xml:space="preserve"> — </w:t>
    </w:r>
    <w:sdt>
      <w:sdtPr>
        <w:alias w:val="Subject"/>
        <w:tag w:val=""/>
        <w:id w:val="533474720"/>
        <w:dataBinding w:prefixMappings="xmlns:ns0='http://purl.org/dc/elements/1.1/' xmlns:ns1='http://schemas.openxmlformats.org/package/2006/metadata/core-properties' " w:xpath="/ns1:coreProperties[1]/ns0:subject[1]" w:storeItemID="{6C3C8BC8-F283-45AE-878A-BAB7291924A1}"/>
        <w:text/>
      </w:sdtPr>
      <w:sdtEndPr/>
      <w:sdtContent>
        <w:r w:rsidR="002961F3">
          <w:t>December 2019</w:t>
        </w:r>
      </w:sdtContent>
    </w:sdt>
    <w:r w:rsidR="002961F3">
      <w:t xml:space="preserve"> </w:t>
    </w:r>
    <w:r w:rsidR="002961F3">
      <w:tab/>
    </w:r>
    <w:r w:rsidR="002961F3">
      <w:ptab w:relativeTo="margin" w:alignment="right" w:leader="none"/>
    </w:r>
    <w:r w:rsidR="002961F3">
      <w:t xml:space="preserve"> </w:t>
    </w:r>
    <w:r w:rsidR="002961F3">
      <w:rPr>
        <w:b/>
        <w:bCs/>
      </w:rPr>
      <w:fldChar w:fldCharType="begin"/>
    </w:r>
    <w:r w:rsidR="002961F3">
      <w:rPr>
        <w:b/>
        <w:bCs/>
      </w:rPr>
      <w:instrText xml:space="preserve"> PAGE  \* roman  \* MERGEFORMAT </w:instrText>
    </w:r>
    <w:r w:rsidR="002961F3">
      <w:rPr>
        <w:b/>
        <w:bCs/>
      </w:rPr>
      <w:fldChar w:fldCharType="separate"/>
    </w:r>
    <w:r w:rsidR="002961F3">
      <w:rPr>
        <w:b/>
        <w:bCs/>
        <w:noProof/>
      </w:rPr>
      <w:t>i</w:t>
    </w:r>
    <w:r w:rsidR="002961F3">
      <w:rPr>
        <w:b/>
        <w:bCs/>
      </w:rPr>
      <w:fldChar w:fldCharType="end"/>
    </w:r>
    <w:r w:rsidR="002961F3">
      <w:t xml:space="preserve"> </w:t>
    </w:r>
  </w:p>
  <w:p w14:paraId="1EB22CE3" w14:textId="6699CBB4" w:rsidR="006B48CA" w:rsidRDefault="006B48CA" w:rsidP="00EB0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99F9" w14:textId="05039F72" w:rsidR="006B48CA" w:rsidRDefault="006B48CA" w:rsidP="00757ADC">
    <w:pPr>
      <w:pStyle w:val="Footer"/>
      <w:tabs>
        <w:tab w:val="clear" w:pos="4513"/>
        <w:tab w:val="center" w:pos="5245"/>
      </w:tabs>
    </w:pPr>
    <w:r>
      <w:rPr>
        <w:noProof/>
      </w:rPr>
      <w:drawing>
        <wp:anchor distT="0" distB="0" distL="114300" distR="114300" simplePos="0" relativeHeight="251666432" behindDoc="0" locked="0" layoutInCell="1" allowOverlap="1" wp14:anchorId="73E3A64C" wp14:editId="7F6FB867">
          <wp:simplePos x="0" y="0"/>
          <wp:positionH relativeFrom="column">
            <wp:posOffset>4189730</wp:posOffset>
          </wp:positionH>
          <wp:positionV relativeFrom="page">
            <wp:posOffset>9819880</wp:posOffset>
          </wp:positionV>
          <wp:extent cx="1501775" cy="490220"/>
          <wp:effectExtent l="0" t="0" r="3175" b="5080"/>
          <wp:wrapSquare wrapText="bothSides"/>
          <wp:docPr id="4" name="Picture 4"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92898184"/>
        <w:placeholder>
          <w:docPart w:val="1CF80BA0980A424D8EEB4ACA96AA6660"/>
        </w:placeholder>
        <w:dataBinding w:prefixMappings="xmlns:ns0='http://purl.org/dc/elements/1.1/' xmlns:ns1='http://schemas.openxmlformats.org/package/2006/metadata/core-properties' " w:xpath="/ns1:coreProperties[1]/ns0:title[1]" w:storeItemID="{6C3C8BC8-F283-45AE-878A-BAB7291924A1}"/>
        <w:text/>
      </w:sdtPr>
      <w:sdtEndPr/>
      <w:sdtContent>
        <w:r>
          <w:t>Recommendations for the prevention of infection in intra-vascular devices</w:t>
        </w:r>
      </w:sdtContent>
    </w:sdt>
    <w:r>
      <w:t xml:space="preserve"> - </w:t>
    </w:r>
    <w:sdt>
      <w:sdtPr>
        <w:alias w:val="Subject"/>
        <w:tag w:val=""/>
        <w:id w:val="643233444"/>
        <w:placeholder>
          <w:docPart w:val="5D8997F91DBA42D6B41CEDBAF8FC1994"/>
        </w:placeholder>
        <w:dataBinding w:prefixMappings="xmlns:ns0='http://purl.org/dc/elements/1.1/' xmlns:ns1='http://schemas.openxmlformats.org/package/2006/metadata/core-properties' " w:xpath="/ns1:coreProperties[1]/ns0:subject[1]" w:storeItemID="{6C3C8BC8-F283-45AE-878A-BAB7291924A1}"/>
        <w:text/>
      </w:sdtPr>
      <w:sdtEndPr/>
      <w:sdtContent>
        <w:r>
          <w:t>December 2019</w:t>
        </w:r>
      </w:sdtContent>
    </w:sdt>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D92C" w14:textId="7505111F" w:rsidR="002961F3" w:rsidRDefault="005159B5" w:rsidP="00FC6CA8">
    <w:pPr>
      <w:pStyle w:val="Footer"/>
    </w:pPr>
    <w:sdt>
      <w:sdtPr>
        <w:alias w:val="Title"/>
        <w:tag w:val=""/>
        <w:id w:val="-307936206"/>
        <w:placeholder>
          <w:docPart w:val="7B3B4A8C14F542FEBA60AD5F16E176E3"/>
        </w:placeholder>
        <w:dataBinding w:prefixMappings="xmlns:ns0='http://purl.org/dc/elements/1.1/' xmlns:ns1='http://schemas.openxmlformats.org/package/2006/metadata/core-properties' " w:xpath="/ns1:coreProperties[1]/ns0:title[1]" w:storeItemID="{6C3C8BC8-F283-45AE-878A-BAB7291924A1}"/>
        <w:text/>
      </w:sdtPr>
      <w:sdtEndPr/>
      <w:sdtContent>
        <w:r w:rsidR="002961F3">
          <w:t>Recommendations for the prevention of infection in intra-vascular devices</w:t>
        </w:r>
      </w:sdtContent>
    </w:sdt>
    <w:r w:rsidR="002961F3">
      <w:t xml:space="preserve"> - </w:t>
    </w:r>
    <w:sdt>
      <w:sdtPr>
        <w:alias w:val="Subject"/>
        <w:tag w:val=""/>
        <w:id w:val="-2004651840"/>
        <w:placeholder>
          <w:docPart w:val="D734F1E58B9245B0BA92C02D0373411C"/>
        </w:placeholder>
        <w:dataBinding w:prefixMappings="xmlns:ns0='http://purl.org/dc/elements/1.1/' xmlns:ns1='http://schemas.openxmlformats.org/package/2006/metadata/core-properties' " w:xpath="/ns1:coreProperties[1]/ns0:subject[1]" w:storeItemID="{6C3C8BC8-F283-45AE-878A-BAB7291924A1}"/>
        <w:text/>
      </w:sdtPr>
      <w:sdtEndPr/>
      <w:sdtContent>
        <w:r w:rsidR="002961F3">
          <w:t>December 2019</w:t>
        </w:r>
      </w:sdtContent>
    </w:sdt>
    <w:r w:rsidR="002961F3">
      <w:ptab w:relativeTo="margin" w:alignment="right" w:leader="none"/>
    </w:r>
    <w:r w:rsidR="002961F3">
      <w:t xml:space="preserve">Page </w:t>
    </w:r>
    <w:r w:rsidR="002961F3">
      <w:rPr>
        <w:b/>
        <w:bCs/>
      </w:rPr>
      <w:fldChar w:fldCharType="begin"/>
    </w:r>
    <w:r w:rsidR="002961F3">
      <w:rPr>
        <w:b/>
        <w:bCs/>
      </w:rPr>
      <w:instrText xml:space="preserve"> PAGE  \* Arabic  \* MERGEFORMAT </w:instrText>
    </w:r>
    <w:r w:rsidR="002961F3">
      <w:rPr>
        <w:b/>
        <w:bCs/>
      </w:rPr>
      <w:fldChar w:fldCharType="separate"/>
    </w:r>
    <w:r w:rsidR="002961F3">
      <w:rPr>
        <w:b/>
        <w:bCs/>
        <w:noProof/>
      </w:rPr>
      <w:t>1</w:t>
    </w:r>
    <w:r w:rsidR="002961F3">
      <w:rPr>
        <w:b/>
        <w:bCs/>
      </w:rPr>
      <w:fldChar w:fldCharType="end"/>
    </w:r>
    <w:r w:rsidR="002961F3">
      <w:t xml:space="preserve"> </w:t>
    </w:r>
  </w:p>
  <w:p w14:paraId="3530BF0B" w14:textId="77777777" w:rsidR="002961F3" w:rsidRDefault="002961F3" w:rsidP="00EB0E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2A59" w14:textId="77777777" w:rsidR="002961F3" w:rsidRDefault="002961F3" w:rsidP="00757ADC">
    <w:pPr>
      <w:pStyle w:val="Footer"/>
      <w:tabs>
        <w:tab w:val="clear" w:pos="4513"/>
        <w:tab w:val="center" w:pos="5245"/>
      </w:tabs>
    </w:pPr>
    <w:r>
      <w:rPr>
        <w:noProof/>
      </w:rPr>
      <w:drawing>
        <wp:anchor distT="0" distB="0" distL="114300" distR="114300" simplePos="0" relativeHeight="251668480" behindDoc="0" locked="0" layoutInCell="1" allowOverlap="1" wp14:anchorId="6D706DE6" wp14:editId="0D34FB08">
          <wp:simplePos x="0" y="0"/>
          <wp:positionH relativeFrom="column">
            <wp:posOffset>4189730</wp:posOffset>
          </wp:positionH>
          <wp:positionV relativeFrom="page">
            <wp:posOffset>9819880</wp:posOffset>
          </wp:positionV>
          <wp:extent cx="1501775" cy="490220"/>
          <wp:effectExtent l="0" t="0" r="3175" b="5080"/>
          <wp:wrapSquare wrapText="bothSides"/>
          <wp:docPr id="1" name="Picture 1"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1591505488"/>
        <w:placeholder>
          <w:docPart w:val="96B15C59E20F42869E44B58C3F06E381"/>
        </w:placeholder>
        <w:dataBinding w:prefixMappings="xmlns:ns0='http://purl.org/dc/elements/1.1/' xmlns:ns1='http://schemas.openxmlformats.org/package/2006/metadata/core-properties' " w:xpath="/ns1:coreProperties[1]/ns0:title[1]" w:storeItemID="{6C3C8BC8-F283-45AE-878A-BAB7291924A1}"/>
        <w:text/>
      </w:sdtPr>
      <w:sdtEndPr/>
      <w:sdtContent>
        <w:r>
          <w:t>Recommendations for the prevention of infection in intra-vascular devices</w:t>
        </w:r>
      </w:sdtContent>
    </w:sdt>
    <w:r>
      <w:t xml:space="preserve"> - </w:t>
    </w:r>
    <w:sdt>
      <w:sdtPr>
        <w:alias w:val="Subject"/>
        <w:tag w:val=""/>
        <w:id w:val="-1342466389"/>
        <w:placeholder>
          <w:docPart w:val="F3BD118CAD2C4EC4A4BB7481941A38C4"/>
        </w:placeholder>
        <w:dataBinding w:prefixMappings="xmlns:ns0='http://purl.org/dc/elements/1.1/' xmlns:ns1='http://schemas.openxmlformats.org/package/2006/metadata/core-properties' " w:xpath="/ns1:coreProperties[1]/ns0:subject[1]" w:storeItemID="{6C3C8BC8-F283-45AE-878A-BAB7291924A1}"/>
        <w:text/>
      </w:sdtPr>
      <w:sdtEndPr/>
      <w:sdtContent>
        <w:r>
          <w:t>December 2019</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5A3E" w14:textId="77777777" w:rsidR="006B48CA" w:rsidRPr="00DB3896" w:rsidRDefault="006B48CA" w:rsidP="00DB3896">
      <w:pPr>
        <w:spacing w:line="240" w:lineRule="auto"/>
        <w:rPr>
          <w:color w:val="D9D9D9" w:themeColor="background1" w:themeShade="D9"/>
        </w:rPr>
      </w:pPr>
      <w:r w:rsidRPr="007638A8">
        <w:rPr>
          <w:color w:val="D9D9D9" w:themeColor="background1" w:themeShade="D9"/>
        </w:rPr>
        <w:separator/>
      </w:r>
    </w:p>
    <w:p w14:paraId="1189C59F" w14:textId="77777777" w:rsidR="006B48CA" w:rsidRDefault="006B48CA"/>
    <w:p w14:paraId="6D6F0C5C" w14:textId="77777777" w:rsidR="006B48CA" w:rsidRDefault="006B48CA"/>
    <w:p w14:paraId="583A1254" w14:textId="77777777" w:rsidR="006B48CA" w:rsidRDefault="006B48CA"/>
  </w:footnote>
  <w:footnote w:type="continuationSeparator" w:id="0">
    <w:p w14:paraId="4FD12496" w14:textId="77777777" w:rsidR="006B48CA" w:rsidRDefault="006B48CA" w:rsidP="005655C9">
      <w:pPr>
        <w:spacing w:line="240" w:lineRule="auto"/>
      </w:pPr>
      <w:r>
        <w:continuationSeparator/>
      </w:r>
    </w:p>
    <w:p w14:paraId="25758076" w14:textId="77777777" w:rsidR="006B48CA" w:rsidRDefault="006B48CA"/>
    <w:p w14:paraId="27CDECE9" w14:textId="77777777" w:rsidR="006B48CA" w:rsidRDefault="006B48CA" w:rsidP="00952B5B"/>
    <w:p w14:paraId="22066968" w14:textId="77777777" w:rsidR="006B48CA" w:rsidRDefault="006B48CA" w:rsidP="00952B5B"/>
    <w:p w14:paraId="6B068E8C" w14:textId="77777777" w:rsidR="006B48CA" w:rsidRDefault="006B48CA"/>
    <w:p w14:paraId="759793E8" w14:textId="77777777" w:rsidR="006B48CA" w:rsidRDefault="006B48CA"/>
    <w:p w14:paraId="53121FA5" w14:textId="77777777" w:rsidR="006B48CA" w:rsidRDefault="006B48CA"/>
    <w:p w14:paraId="7954DA39" w14:textId="77777777" w:rsidR="006B48CA" w:rsidRDefault="006B4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44DF" w14:textId="77777777" w:rsidR="006B48CA" w:rsidRDefault="006B48CA">
    <w:pPr>
      <w:pStyle w:val="Header"/>
    </w:pPr>
    <w:r>
      <w:rPr>
        <w:noProof/>
      </w:rPr>
      <w:drawing>
        <wp:anchor distT="0" distB="0" distL="114300" distR="114300" simplePos="0" relativeHeight="251664384" behindDoc="1" locked="0" layoutInCell="1" allowOverlap="1" wp14:anchorId="1724C7C1" wp14:editId="790FF2D4">
          <wp:simplePos x="0" y="0"/>
          <wp:positionH relativeFrom="column">
            <wp:posOffset>-1112520</wp:posOffset>
          </wp:positionH>
          <wp:positionV relativeFrom="page">
            <wp:posOffset>-21590</wp:posOffset>
          </wp:positionV>
          <wp:extent cx="15116175" cy="1303020"/>
          <wp:effectExtent l="0" t="0" r="9525" b="0"/>
          <wp:wrapNone/>
          <wp:docPr id="3" name="Picture 3"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C2834" w14:textId="77777777" w:rsidR="006B48CA" w:rsidRDefault="006B48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0D50DBC"/>
    <w:multiLevelType w:val="hybridMultilevel"/>
    <w:tmpl w:val="2D903600"/>
    <w:lvl w:ilvl="0" w:tplc="1742827C">
      <w:start w:val="1"/>
      <w:numFmt w:val="bullet"/>
      <w:lvlText w:val="•"/>
      <w:lvlJc w:val="left"/>
      <w:pPr>
        <w:tabs>
          <w:tab w:val="num" w:pos="360"/>
        </w:tabs>
        <w:ind w:left="360" w:hanging="360"/>
      </w:pPr>
      <w:rPr>
        <w:rFonts w:ascii="Arial" w:hAnsi="Aria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E5F5C"/>
    <w:multiLevelType w:val="hybridMultilevel"/>
    <w:tmpl w:val="29AAA3AC"/>
    <w:lvl w:ilvl="0" w:tplc="1742827C">
      <w:start w:val="1"/>
      <w:numFmt w:val="bullet"/>
      <w:lvlText w:val="•"/>
      <w:lvlJc w:val="left"/>
      <w:pPr>
        <w:tabs>
          <w:tab w:val="num" w:pos="360"/>
        </w:tabs>
        <w:ind w:left="360" w:hanging="360"/>
      </w:pPr>
      <w:rPr>
        <w:rFonts w:ascii="Arial" w:hAnsi="Aria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0046D6"/>
    <w:multiLevelType w:val="hybridMultilevel"/>
    <w:tmpl w:val="8ED8738A"/>
    <w:lvl w:ilvl="0" w:tplc="FFFFFFFF">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646E12"/>
    <w:multiLevelType w:val="hybridMultilevel"/>
    <w:tmpl w:val="A2D42C1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25403EEB"/>
    <w:multiLevelType w:val="multilevel"/>
    <w:tmpl w:val="C2FE460C"/>
    <w:numStyleLink w:val="Bullets"/>
  </w:abstractNum>
  <w:abstractNum w:abstractNumId="9"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8094328"/>
    <w:multiLevelType w:val="multilevel"/>
    <w:tmpl w:val="C2FE460C"/>
    <w:numStyleLink w:val="Bullets"/>
  </w:abstractNum>
  <w:abstractNum w:abstractNumId="12"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3"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CC5BE4"/>
    <w:multiLevelType w:val="hybridMultilevel"/>
    <w:tmpl w:val="F24ABC7A"/>
    <w:lvl w:ilvl="0" w:tplc="0DBC3642">
      <w:numFmt w:val="bullet"/>
      <w:lvlText w:val=""/>
      <w:lvlJc w:val="left"/>
      <w:pPr>
        <w:tabs>
          <w:tab w:val="num" w:pos="360"/>
        </w:tabs>
        <w:ind w:left="360" w:hanging="360"/>
      </w:pPr>
      <w:rPr>
        <w:rFonts w:ascii="Wingdings" w:eastAsia="Times New Roman"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0"/>
  </w:num>
  <w:num w:numId="32">
    <w:abstractNumId w:val="10"/>
  </w:num>
  <w:num w:numId="33">
    <w:abstractNumId w:val="9"/>
  </w:num>
  <w:num w:numId="34">
    <w:abstractNumId w:val="12"/>
  </w:num>
  <w:num w:numId="35">
    <w:abstractNumId w:val="1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
  </w:num>
  <w:num w:numId="47">
    <w:abstractNumId w:val="4"/>
  </w:num>
  <w:num w:numId="48">
    <w:abstractNumId w:val="3"/>
  </w:num>
  <w:num w:numId="49">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0F"/>
    <w:rsid w:val="0000006D"/>
    <w:rsid w:val="00002B1B"/>
    <w:rsid w:val="0000330E"/>
    <w:rsid w:val="00004C05"/>
    <w:rsid w:val="000102EE"/>
    <w:rsid w:val="00011170"/>
    <w:rsid w:val="00011ACB"/>
    <w:rsid w:val="000129DF"/>
    <w:rsid w:val="00016271"/>
    <w:rsid w:val="000177FA"/>
    <w:rsid w:val="00020E27"/>
    <w:rsid w:val="00022D7A"/>
    <w:rsid w:val="00022DDB"/>
    <w:rsid w:val="00030AB2"/>
    <w:rsid w:val="000317F2"/>
    <w:rsid w:val="000379C7"/>
    <w:rsid w:val="000452C0"/>
    <w:rsid w:val="0004535D"/>
    <w:rsid w:val="00047071"/>
    <w:rsid w:val="0005093D"/>
    <w:rsid w:val="00050FE6"/>
    <w:rsid w:val="00054FA5"/>
    <w:rsid w:val="00055386"/>
    <w:rsid w:val="000563EB"/>
    <w:rsid w:val="00056BD6"/>
    <w:rsid w:val="00060860"/>
    <w:rsid w:val="00063EA7"/>
    <w:rsid w:val="00065A54"/>
    <w:rsid w:val="00066B7B"/>
    <w:rsid w:val="00067A5A"/>
    <w:rsid w:val="000712C1"/>
    <w:rsid w:val="00071708"/>
    <w:rsid w:val="00073925"/>
    <w:rsid w:val="00077EFB"/>
    <w:rsid w:val="00082AE4"/>
    <w:rsid w:val="00082F11"/>
    <w:rsid w:val="0008374B"/>
    <w:rsid w:val="00090157"/>
    <w:rsid w:val="00090ACD"/>
    <w:rsid w:val="00091A60"/>
    <w:rsid w:val="00093BC2"/>
    <w:rsid w:val="00096257"/>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C5F50"/>
    <w:rsid w:val="000D154F"/>
    <w:rsid w:val="000D31C5"/>
    <w:rsid w:val="000D3BDA"/>
    <w:rsid w:val="000E1F6E"/>
    <w:rsid w:val="000F1ED2"/>
    <w:rsid w:val="000F2801"/>
    <w:rsid w:val="001010D2"/>
    <w:rsid w:val="00102B00"/>
    <w:rsid w:val="00102FEC"/>
    <w:rsid w:val="0010338A"/>
    <w:rsid w:val="0010463C"/>
    <w:rsid w:val="00117EAE"/>
    <w:rsid w:val="001243D4"/>
    <w:rsid w:val="00124772"/>
    <w:rsid w:val="00130C62"/>
    <w:rsid w:val="00132864"/>
    <w:rsid w:val="00133282"/>
    <w:rsid w:val="00134678"/>
    <w:rsid w:val="00134B0A"/>
    <w:rsid w:val="00135D4A"/>
    <w:rsid w:val="00140F1A"/>
    <w:rsid w:val="001426FC"/>
    <w:rsid w:val="00142919"/>
    <w:rsid w:val="00154397"/>
    <w:rsid w:val="00154ADA"/>
    <w:rsid w:val="0015524D"/>
    <w:rsid w:val="0016168E"/>
    <w:rsid w:val="00161A5D"/>
    <w:rsid w:val="00166E39"/>
    <w:rsid w:val="001702DA"/>
    <w:rsid w:val="00172DEA"/>
    <w:rsid w:val="001736DC"/>
    <w:rsid w:val="00175AF6"/>
    <w:rsid w:val="0018020F"/>
    <w:rsid w:val="0018177F"/>
    <w:rsid w:val="00181AA0"/>
    <w:rsid w:val="00182872"/>
    <w:rsid w:val="00182F3A"/>
    <w:rsid w:val="00183D5E"/>
    <w:rsid w:val="0018508C"/>
    <w:rsid w:val="0018576B"/>
    <w:rsid w:val="00186009"/>
    <w:rsid w:val="001870E3"/>
    <w:rsid w:val="0019023A"/>
    <w:rsid w:val="001904D5"/>
    <w:rsid w:val="001A1C02"/>
    <w:rsid w:val="001A23D2"/>
    <w:rsid w:val="001A3417"/>
    <w:rsid w:val="001A5624"/>
    <w:rsid w:val="001A6159"/>
    <w:rsid w:val="001B0382"/>
    <w:rsid w:val="001B5203"/>
    <w:rsid w:val="001B71F5"/>
    <w:rsid w:val="001C11EA"/>
    <w:rsid w:val="001C7CD9"/>
    <w:rsid w:val="001D015E"/>
    <w:rsid w:val="001D060C"/>
    <w:rsid w:val="001D193E"/>
    <w:rsid w:val="001D65FE"/>
    <w:rsid w:val="001E0619"/>
    <w:rsid w:val="001E0861"/>
    <w:rsid w:val="001E2A17"/>
    <w:rsid w:val="001E4E6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043E"/>
    <w:rsid w:val="002210CE"/>
    <w:rsid w:val="002236D8"/>
    <w:rsid w:val="00224517"/>
    <w:rsid w:val="0022563B"/>
    <w:rsid w:val="002277C5"/>
    <w:rsid w:val="002301B6"/>
    <w:rsid w:val="002309A1"/>
    <w:rsid w:val="002315D9"/>
    <w:rsid w:val="002373F8"/>
    <w:rsid w:val="00240836"/>
    <w:rsid w:val="00240897"/>
    <w:rsid w:val="002449FC"/>
    <w:rsid w:val="00245840"/>
    <w:rsid w:val="00252398"/>
    <w:rsid w:val="00257D41"/>
    <w:rsid w:val="0026072D"/>
    <w:rsid w:val="00264468"/>
    <w:rsid w:val="00264ABB"/>
    <w:rsid w:val="0026586D"/>
    <w:rsid w:val="00267FFD"/>
    <w:rsid w:val="00277858"/>
    <w:rsid w:val="0028037F"/>
    <w:rsid w:val="00285E94"/>
    <w:rsid w:val="002862F2"/>
    <w:rsid w:val="00287D05"/>
    <w:rsid w:val="00294E66"/>
    <w:rsid w:val="002961F3"/>
    <w:rsid w:val="002A050A"/>
    <w:rsid w:val="002A05BC"/>
    <w:rsid w:val="002A2C12"/>
    <w:rsid w:val="002A3476"/>
    <w:rsid w:val="002A4BB8"/>
    <w:rsid w:val="002A4E88"/>
    <w:rsid w:val="002A7483"/>
    <w:rsid w:val="002B20E1"/>
    <w:rsid w:val="002B30A7"/>
    <w:rsid w:val="002B3AE6"/>
    <w:rsid w:val="002B5851"/>
    <w:rsid w:val="002D09C4"/>
    <w:rsid w:val="002D0FAA"/>
    <w:rsid w:val="002D26DD"/>
    <w:rsid w:val="002D5310"/>
    <w:rsid w:val="002D7105"/>
    <w:rsid w:val="002D755A"/>
    <w:rsid w:val="002D7C78"/>
    <w:rsid w:val="002E077C"/>
    <w:rsid w:val="002E13DF"/>
    <w:rsid w:val="002E1D7D"/>
    <w:rsid w:val="002E1EC4"/>
    <w:rsid w:val="002E324A"/>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29B8"/>
    <w:rsid w:val="0032406F"/>
    <w:rsid w:val="003324A5"/>
    <w:rsid w:val="00333D1A"/>
    <w:rsid w:val="003341F1"/>
    <w:rsid w:val="003353E9"/>
    <w:rsid w:val="00335EE3"/>
    <w:rsid w:val="003370A7"/>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67488"/>
    <w:rsid w:val="0037411B"/>
    <w:rsid w:val="00376383"/>
    <w:rsid w:val="00376393"/>
    <w:rsid w:val="00387381"/>
    <w:rsid w:val="003878E3"/>
    <w:rsid w:val="003926AD"/>
    <w:rsid w:val="00395EFF"/>
    <w:rsid w:val="00395FAF"/>
    <w:rsid w:val="00397DA5"/>
    <w:rsid w:val="003A2B34"/>
    <w:rsid w:val="003A47E7"/>
    <w:rsid w:val="003A6203"/>
    <w:rsid w:val="003B1457"/>
    <w:rsid w:val="003B27A7"/>
    <w:rsid w:val="003B6431"/>
    <w:rsid w:val="003B7ED7"/>
    <w:rsid w:val="003C52A3"/>
    <w:rsid w:val="003C775C"/>
    <w:rsid w:val="003D2D25"/>
    <w:rsid w:val="003E174B"/>
    <w:rsid w:val="003E5D10"/>
    <w:rsid w:val="003E6DCC"/>
    <w:rsid w:val="003F0150"/>
    <w:rsid w:val="003F22F5"/>
    <w:rsid w:val="003F375A"/>
    <w:rsid w:val="003F426C"/>
    <w:rsid w:val="003F4465"/>
    <w:rsid w:val="003F7E00"/>
    <w:rsid w:val="004014E3"/>
    <w:rsid w:val="0040257C"/>
    <w:rsid w:val="00403DFD"/>
    <w:rsid w:val="00403FCC"/>
    <w:rsid w:val="00405200"/>
    <w:rsid w:val="00405B6E"/>
    <w:rsid w:val="00405F56"/>
    <w:rsid w:val="00406F2D"/>
    <w:rsid w:val="00411F34"/>
    <w:rsid w:val="0041343E"/>
    <w:rsid w:val="004138FE"/>
    <w:rsid w:val="0041653C"/>
    <w:rsid w:val="00420186"/>
    <w:rsid w:val="004212D4"/>
    <w:rsid w:val="0042265C"/>
    <w:rsid w:val="004226B0"/>
    <w:rsid w:val="004236CC"/>
    <w:rsid w:val="004270FB"/>
    <w:rsid w:val="00427649"/>
    <w:rsid w:val="00430CFA"/>
    <w:rsid w:val="00436F69"/>
    <w:rsid w:val="00442878"/>
    <w:rsid w:val="00444053"/>
    <w:rsid w:val="00444C11"/>
    <w:rsid w:val="0044735C"/>
    <w:rsid w:val="00447A4C"/>
    <w:rsid w:val="004505B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6F51"/>
    <w:rsid w:val="004D7EC2"/>
    <w:rsid w:val="004E244B"/>
    <w:rsid w:val="004E5DA1"/>
    <w:rsid w:val="004F1C97"/>
    <w:rsid w:val="004F4A08"/>
    <w:rsid w:val="00500A17"/>
    <w:rsid w:val="00505703"/>
    <w:rsid w:val="00513E2B"/>
    <w:rsid w:val="005159B5"/>
    <w:rsid w:val="005160C7"/>
    <w:rsid w:val="005205B8"/>
    <w:rsid w:val="00521B45"/>
    <w:rsid w:val="00524A14"/>
    <w:rsid w:val="005277E7"/>
    <w:rsid w:val="00531475"/>
    <w:rsid w:val="00531752"/>
    <w:rsid w:val="005424E1"/>
    <w:rsid w:val="005433C7"/>
    <w:rsid w:val="00546DF4"/>
    <w:rsid w:val="0054704A"/>
    <w:rsid w:val="0055179F"/>
    <w:rsid w:val="00553A02"/>
    <w:rsid w:val="00555240"/>
    <w:rsid w:val="00555902"/>
    <w:rsid w:val="0056004A"/>
    <w:rsid w:val="0056129F"/>
    <w:rsid w:val="005619DA"/>
    <w:rsid w:val="00563DC4"/>
    <w:rsid w:val="005655C9"/>
    <w:rsid w:val="00577AF8"/>
    <w:rsid w:val="00580230"/>
    <w:rsid w:val="0058056F"/>
    <w:rsid w:val="0058662F"/>
    <w:rsid w:val="005871AA"/>
    <w:rsid w:val="00591AEC"/>
    <w:rsid w:val="005951EE"/>
    <w:rsid w:val="005965C9"/>
    <w:rsid w:val="00596729"/>
    <w:rsid w:val="005A2F1B"/>
    <w:rsid w:val="005A4971"/>
    <w:rsid w:val="005A50DE"/>
    <w:rsid w:val="005A7842"/>
    <w:rsid w:val="005A7C02"/>
    <w:rsid w:val="005B1F6E"/>
    <w:rsid w:val="005B2A03"/>
    <w:rsid w:val="005B3180"/>
    <w:rsid w:val="005B69BA"/>
    <w:rsid w:val="005B6AEB"/>
    <w:rsid w:val="005C4771"/>
    <w:rsid w:val="005C545A"/>
    <w:rsid w:val="005C5D2A"/>
    <w:rsid w:val="005D281C"/>
    <w:rsid w:val="005D2E19"/>
    <w:rsid w:val="005D4220"/>
    <w:rsid w:val="005D4AFC"/>
    <w:rsid w:val="005D5C48"/>
    <w:rsid w:val="005D6C99"/>
    <w:rsid w:val="005E07EE"/>
    <w:rsid w:val="005E2788"/>
    <w:rsid w:val="005E3D4E"/>
    <w:rsid w:val="005E473F"/>
    <w:rsid w:val="005E6FF2"/>
    <w:rsid w:val="005E77E0"/>
    <w:rsid w:val="005F05E4"/>
    <w:rsid w:val="005F1A39"/>
    <w:rsid w:val="005F2059"/>
    <w:rsid w:val="005F715E"/>
    <w:rsid w:val="005F7246"/>
    <w:rsid w:val="0060037E"/>
    <w:rsid w:val="006046AE"/>
    <w:rsid w:val="00605401"/>
    <w:rsid w:val="00605790"/>
    <w:rsid w:val="006123BB"/>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48CA"/>
    <w:rsid w:val="006B5ADD"/>
    <w:rsid w:val="006C023D"/>
    <w:rsid w:val="006C2352"/>
    <w:rsid w:val="006C3FB6"/>
    <w:rsid w:val="006C4415"/>
    <w:rsid w:val="006D7458"/>
    <w:rsid w:val="006F0A87"/>
    <w:rsid w:val="006F77E7"/>
    <w:rsid w:val="007001AD"/>
    <w:rsid w:val="00705E8F"/>
    <w:rsid w:val="007110FF"/>
    <w:rsid w:val="007135A8"/>
    <w:rsid w:val="0072376A"/>
    <w:rsid w:val="00724065"/>
    <w:rsid w:val="0072754B"/>
    <w:rsid w:val="007321AB"/>
    <w:rsid w:val="00733D72"/>
    <w:rsid w:val="00734807"/>
    <w:rsid w:val="0073685D"/>
    <w:rsid w:val="007404B1"/>
    <w:rsid w:val="00746618"/>
    <w:rsid w:val="00747F03"/>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75447"/>
    <w:rsid w:val="00791250"/>
    <w:rsid w:val="00795804"/>
    <w:rsid w:val="007968BB"/>
    <w:rsid w:val="0079737D"/>
    <w:rsid w:val="007A0895"/>
    <w:rsid w:val="007A4105"/>
    <w:rsid w:val="007B31C7"/>
    <w:rsid w:val="007B5450"/>
    <w:rsid w:val="007B66B8"/>
    <w:rsid w:val="007B680B"/>
    <w:rsid w:val="007B7B0D"/>
    <w:rsid w:val="007B7BBC"/>
    <w:rsid w:val="007B7EA6"/>
    <w:rsid w:val="007C0D8F"/>
    <w:rsid w:val="007C13B3"/>
    <w:rsid w:val="007C71ED"/>
    <w:rsid w:val="007D1EBB"/>
    <w:rsid w:val="007D1F6C"/>
    <w:rsid w:val="007D2B8C"/>
    <w:rsid w:val="007D2DCB"/>
    <w:rsid w:val="007D344A"/>
    <w:rsid w:val="007E2E42"/>
    <w:rsid w:val="007E350E"/>
    <w:rsid w:val="007E3D08"/>
    <w:rsid w:val="007E6348"/>
    <w:rsid w:val="007E64D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01A6"/>
    <w:rsid w:val="00861F8A"/>
    <w:rsid w:val="008740C7"/>
    <w:rsid w:val="00874776"/>
    <w:rsid w:val="00875A14"/>
    <w:rsid w:val="00877276"/>
    <w:rsid w:val="0087737A"/>
    <w:rsid w:val="00877CD0"/>
    <w:rsid w:val="00881501"/>
    <w:rsid w:val="0088273C"/>
    <w:rsid w:val="008911F2"/>
    <w:rsid w:val="0089133F"/>
    <w:rsid w:val="00893741"/>
    <w:rsid w:val="008A3AE9"/>
    <w:rsid w:val="008A51D2"/>
    <w:rsid w:val="008A5C34"/>
    <w:rsid w:val="008A5E96"/>
    <w:rsid w:val="008B12D7"/>
    <w:rsid w:val="008B2422"/>
    <w:rsid w:val="008B2A5F"/>
    <w:rsid w:val="008B64D7"/>
    <w:rsid w:val="008C3FB9"/>
    <w:rsid w:val="008C42A9"/>
    <w:rsid w:val="008C4621"/>
    <w:rsid w:val="008C6F37"/>
    <w:rsid w:val="008D0CFC"/>
    <w:rsid w:val="008D3E9D"/>
    <w:rsid w:val="008D7AC0"/>
    <w:rsid w:val="008E0ED4"/>
    <w:rsid w:val="008E2440"/>
    <w:rsid w:val="008E4F5D"/>
    <w:rsid w:val="008E796B"/>
    <w:rsid w:val="008F0A07"/>
    <w:rsid w:val="008F0B95"/>
    <w:rsid w:val="008F22E2"/>
    <w:rsid w:val="008F2319"/>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1FA"/>
    <w:rsid w:val="009302A2"/>
    <w:rsid w:val="00930FDA"/>
    <w:rsid w:val="00931347"/>
    <w:rsid w:val="009449B8"/>
    <w:rsid w:val="00946F75"/>
    <w:rsid w:val="00951E3A"/>
    <w:rsid w:val="00951F52"/>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01E2"/>
    <w:rsid w:val="00993A55"/>
    <w:rsid w:val="009956BB"/>
    <w:rsid w:val="009A0E3A"/>
    <w:rsid w:val="009A2E35"/>
    <w:rsid w:val="009A3443"/>
    <w:rsid w:val="009A41DF"/>
    <w:rsid w:val="009A5980"/>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0A40"/>
    <w:rsid w:val="009D147F"/>
    <w:rsid w:val="009D210A"/>
    <w:rsid w:val="009D3A3B"/>
    <w:rsid w:val="009D7E5C"/>
    <w:rsid w:val="009E0618"/>
    <w:rsid w:val="009E0AAC"/>
    <w:rsid w:val="009E0BAF"/>
    <w:rsid w:val="009E2527"/>
    <w:rsid w:val="009E4F47"/>
    <w:rsid w:val="009E5C21"/>
    <w:rsid w:val="009E7E3A"/>
    <w:rsid w:val="009F0F72"/>
    <w:rsid w:val="00A032DD"/>
    <w:rsid w:val="00A03370"/>
    <w:rsid w:val="00A05570"/>
    <w:rsid w:val="00A05AFA"/>
    <w:rsid w:val="00A07113"/>
    <w:rsid w:val="00A13B67"/>
    <w:rsid w:val="00A16DA7"/>
    <w:rsid w:val="00A17480"/>
    <w:rsid w:val="00A205D1"/>
    <w:rsid w:val="00A23178"/>
    <w:rsid w:val="00A27632"/>
    <w:rsid w:val="00A301AC"/>
    <w:rsid w:val="00A30F6C"/>
    <w:rsid w:val="00A31616"/>
    <w:rsid w:val="00A31913"/>
    <w:rsid w:val="00A328A7"/>
    <w:rsid w:val="00A34F13"/>
    <w:rsid w:val="00A35413"/>
    <w:rsid w:val="00A443A1"/>
    <w:rsid w:val="00A44D27"/>
    <w:rsid w:val="00A4654E"/>
    <w:rsid w:val="00A51104"/>
    <w:rsid w:val="00A5412A"/>
    <w:rsid w:val="00A54C34"/>
    <w:rsid w:val="00A60797"/>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17B7"/>
    <w:rsid w:val="00AF5538"/>
    <w:rsid w:val="00AF556F"/>
    <w:rsid w:val="00AF5D2E"/>
    <w:rsid w:val="00B05E4A"/>
    <w:rsid w:val="00B06EE7"/>
    <w:rsid w:val="00B10931"/>
    <w:rsid w:val="00B11763"/>
    <w:rsid w:val="00B117CB"/>
    <w:rsid w:val="00B11D7B"/>
    <w:rsid w:val="00B12F36"/>
    <w:rsid w:val="00B17E98"/>
    <w:rsid w:val="00B256B2"/>
    <w:rsid w:val="00B4092C"/>
    <w:rsid w:val="00B42E57"/>
    <w:rsid w:val="00B438BD"/>
    <w:rsid w:val="00B449AF"/>
    <w:rsid w:val="00B449E6"/>
    <w:rsid w:val="00B464F0"/>
    <w:rsid w:val="00B47CFC"/>
    <w:rsid w:val="00B47FB5"/>
    <w:rsid w:val="00B53736"/>
    <w:rsid w:val="00B5616B"/>
    <w:rsid w:val="00B56FCC"/>
    <w:rsid w:val="00B6652C"/>
    <w:rsid w:val="00B7199B"/>
    <w:rsid w:val="00B7210C"/>
    <w:rsid w:val="00B7472E"/>
    <w:rsid w:val="00B83398"/>
    <w:rsid w:val="00B8356D"/>
    <w:rsid w:val="00B83CE7"/>
    <w:rsid w:val="00B8567D"/>
    <w:rsid w:val="00B863E8"/>
    <w:rsid w:val="00B934CF"/>
    <w:rsid w:val="00B934FA"/>
    <w:rsid w:val="00B93ED4"/>
    <w:rsid w:val="00BA01AC"/>
    <w:rsid w:val="00BA197D"/>
    <w:rsid w:val="00BA4A74"/>
    <w:rsid w:val="00BA4EAC"/>
    <w:rsid w:val="00BA572C"/>
    <w:rsid w:val="00BA59BD"/>
    <w:rsid w:val="00BB008C"/>
    <w:rsid w:val="00BB2A3A"/>
    <w:rsid w:val="00BB75BB"/>
    <w:rsid w:val="00BC0093"/>
    <w:rsid w:val="00BC56E2"/>
    <w:rsid w:val="00BC7C83"/>
    <w:rsid w:val="00BD3835"/>
    <w:rsid w:val="00BD72A8"/>
    <w:rsid w:val="00BE1294"/>
    <w:rsid w:val="00BE1B86"/>
    <w:rsid w:val="00BE2914"/>
    <w:rsid w:val="00BE318F"/>
    <w:rsid w:val="00BE404E"/>
    <w:rsid w:val="00BE440A"/>
    <w:rsid w:val="00BF2846"/>
    <w:rsid w:val="00BF5BC4"/>
    <w:rsid w:val="00C00376"/>
    <w:rsid w:val="00C0205C"/>
    <w:rsid w:val="00C02F45"/>
    <w:rsid w:val="00C044C3"/>
    <w:rsid w:val="00C05A67"/>
    <w:rsid w:val="00C07530"/>
    <w:rsid w:val="00C104B1"/>
    <w:rsid w:val="00C120CD"/>
    <w:rsid w:val="00C137F1"/>
    <w:rsid w:val="00C1570F"/>
    <w:rsid w:val="00C202BD"/>
    <w:rsid w:val="00C230FB"/>
    <w:rsid w:val="00C2449F"/>
    <w:rsid w:val="00C2481F"/>
    <w:rsid w:val="00C31308"/>
    <w:rsid w:val="00C406BB"/>
    <w:rsid w:val="00C411F6"/>
    <w:rsid w:val="00C44CC2"/>
    <w:rsid w:val="00C463CB"/>
    <w:rsid w:val="00C50FF0"/>
    <w:rsid w:val="00C5274A"/>
    <w:rsid w:val="00C623FB"/>
    <w:rsid w:val="00C62595"/>
    <w:rsid w:val="00C62BF6"/>
    <w:rsid w:val="00C66D8F"/>
    <w:rsid w:val="00C673B8"/>
    <w:rsid w:val="00C67C87"/>
    <w:rsid w:val="00C71484"/>
    <w:rsid w:val="00C76224"/>
    <w:rsid w:val="00C76568"/>
    <w:rsid w:val="00C87562"/>
    <w:rsid w:val="00C90EDA"/>
    <w:rsid w:val="00C932DA"/>
    <w:rsid w:val="00CA7AC3"/>
    <w:rsid w:val="00CB0A74"/>
    <w:rsid w:val="00CB1027"/>
    <w:rsid w:val="00CB3B98"/>
    <w:rsid w:val="00CB3E87"/>
    <w:rsid w:val="00CB538A"/>
    <w:rsid w:val="00CB5CB5"/>
    <w:rsid w:val="00CB6A45"/>
    <w:rsid w:val="00CC1AC6"/>
    <w:rsid w:val="00CC513A"/>
    <w:rsid w:val="00CC51DE"/>
    <w:rsid w:val="00CD0236"/>
    <w:rsid w:val="00CD07DE"/>
    <w:rsid w:val="00CD7DBC"/>
    <w:rsid w:val="00CE2F66"/>
    <w:rsid w:val="00CE347C"/>
    <w:rsid w:val="00CE5B34"/>
    <w:rsid w:val="00CF2A7E"/>
    <w:rsid w:val="00CF3E36"/>
    <w:rsid w:val="00CF51D9"/>
    <w:rsid w:val="00CF6AFB"/>
    <w:rsid w:val="00CF766A"/>
    <w:rsid w:val="00D03115"/>
    <w:rsid w:val="00D0426B"/>
    <w:rsid w:val="00D05F93"/>
    <w:rsid w:val="00D10DD7"/>
    <w:rsid w:val="00D13EAF"/>
    <w:rsid w:val="00D14E99"/>
    <w:rsid w:val="00D16F4F"/>
    <w:rsid w:val="00D17033"/>
    <w:rsid w:val="00D17773"/>
    <w:rsid w:val="00D20CB3"/>
    <w:rsid w:val="00D228BB"/>
    <w:rsid w:val="00D22C9C"/>
    <w:rsid w:val="00D244C0"/>
    <w:rsid w:val="00D27969"/>
    <w:rsid w:val="00D27CB8"/>
    <w:rsid w:val="00D313E4"/>
    <w:rsid w:val="00D3185F"/>
    <w:rsid w:val="00D35386"/>
    <w:rsid w:val="00D43891"/>
    <w:rsid w:val="00D43A52"/>
    <w:rsid w:val="00D4442B"/>
    <w:rsid w:val="00D449B2"/>
    <w:rsid w:val="00D45B89"/>
    <w:rsid w:val="00D469D4"/>
    <w:rsid w:val="00D473F1"/>
    <w:rsid w:val="00D52D63"/>
    <w:rsid w:val="00D62DA7"/>
    <w:rsid w:val="00D635C0"/>
    <w:rsid w:val="00D67089"/>
    <w:rsid w:val="00D707FE"/>
    <w:rsid w:val="00D72439"/>
    <w:rsid w:val="00D73C67"/>
    <w:rsid w:val="00D76DB7"/>
    <w:rsid w:val="00D779CD"/>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279E7"/>
    <w:rsid w:val="00E307D8"/>
    <w:rsid w:val="00E33541"/>
    <w:rsid w:val="00E363A8"/>
    <w:rsid w:val="00E4144B"/>
    <w:rsid w:val="00E431E8"/>
    <w:rsid w:val="00E459DF"/>
    <w:rsid w:val="00E52162"/>
    <w:rsid w:val="00E5262D"/>
    <w:rsid w:val="00E54DBD"/>
    <w:rsid w:val="00E568AC"/>
    <w:rsid w:val="00E57CAA"/>
    <w:rsid w:val="00E61BF9"/>
    <w:rsid w:val="00E646DE"/>
    <w:rsid w:val="00E65418"/>
    <w:rsid w:val="00E6674B"/>
    <w:rsid w:val="00E7314E"/>
    <w:rsid w:val="00E77388"/>
    <w:rsid w:val="00E8041F"/>
    <w:rsid w:val="00E81624"/>
    <w:rsid w:val="00E8346E"/>
    <w:rsid w:val="00E83CA8"/>
    <w:rsid w:val="00E84C6F"/>
    <w:rsid w:val="00E851C1"/>
    <w:rsid w:val="00E85670"/>
    <w:rsid w:val="00E932E3"/>
    <w:rsid w:val="00E967A0"/>
    <w:rsid w:val="00EA032A"/>
    <w:rsid w:val="00EA1417"/>
    <w:rsid w:val="00EA468C"/>
    <w:rsid w:val="00EA4D0D"/>
    <w:rsid w:val="00EA5448"/>
    <w:rsid w:val="00EA54CD"/>
    <w:rsid w:val="00EA62BE"/>
    <w:rsid w:val="00EA665A"/>
    <w:rsid w:val="00EA6CB0"/>
    <w:rsid w:val="00EA791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0F"/>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4744C"/>
    <w:rsid w:val="00F51FF4"/>
    <w:rsid w:val="00F54CD5"/>
    <w:rsid w:val="00F60ED0"/>
    <w:rsid w:val="00F63D14"/>
    <w:rsid w:val="00F6599E"/>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4EAA"/>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0F2E68"/>
  <w14:discardImageEditingData/>
  <w14:defaultImageDpi w14:val="330"/>
  <w15:chartTrackingRefBased/>
  <w15:docId w15:val="{10E4DFD5-69E5-4919-8370-F2D62EE1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uiPriority="3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39"/>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39"/>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39"/>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
    <w:basedOn w:val="BodyText"/>
    <w:link w:val="ListParagraphChar"/>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semiHidden/>
    <w:unhideWhenUsed/>
    <w:rsid w:val="00D52D63"/>
    <w:rPr>
      <w:sz w:val="16"/>
      <w:szCs w:val="16"/>
    </w:rPr>
  </w:style>
  <w:style w:type="character" w:styleId="SubtleReference">
    <w:name w:val="Subtle Reference"/>
    <w:basedOn w:val="DefaultParagraphFont"/>
    <w:uiPriority w:val="31"/>
    <w:rsid w:val="002D7105"/>
    <w:rPr>
      <w:smallCaps/>
      <w:color w:val="5A5A5A" w:themeColor="text1" w:themeTint="A5"/>
    </w:rPr>
  </w:style>
  <w:style w:type="character" w:customStyle="1" w:styleId="ListParagraphChar">
    <w:name w:val="List Paragraph Char"/>
    <w:aliases w:val="Bullet copy Char"/>
    <w:basedOn w:val="DefaultParagraphFont"/>
    <w:link w:val="ListParagraph"/>
    <w:uiPriority w:val="34"/>
    <w:rsid w:val="00F54CD5"/>
    <w:rPr>
      <w:kern w:val="21"/>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hmrc.gov.au/book/australian-guidelines-prevention-and-control-infection-healthcare-2010/b1-5-4-disinfec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infectioncontrol/basics/transmission-based-precautions.htm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qis.health.qld.gov.au/DocumentManagement/Default.aspx?DocumentID=29160&amp;DocumentInstanceID=109753"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qis.health.qld.gov.au/DocumentManagement/Default.aspx?DocumentID=26423" TargetMode="External"/><Relationship Id="rId20" Type="http://schemas.openxmlformats.org/officeDocument/2006/relationships/hyperlink" Target="https://www.cdc.gov/infectioncontrol/basics/standard-precau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safetyandquality.gov.au/publications-and-resources/resource-library/nsqhs-standards-safety-and-quality-improvement-guide-preventing-and-controlling-healthcare-associated-infections" TargetMode="External"/><Relationship Id="rId23" Type="http://schemas.openxmlformats.org/officeDocument/2006/relationships/hyperlink" Target="http://www.hha.org.au/home.aspx"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npsa.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a.org.au/home/5-moments-for-hand-hygiene.aspx" TargetMode="External"/><Relationship Id="rId22" Type="http://schemas.openxmlformats.org/officeDocument/2006/relationships/hyperlink" Target="http://www.hha.org.au/home/5-moments-for-hand-hygiene.aspx"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80BA0980A424D8EEB4ACA96AA6660"/>
        <w:category>
          <w:name w:val="General"/>
          <w:gallery w:val="placeholder"/>
        </w:category>
        <w:types>
          <w:type w:val="bbPlcHdr"/>
        </w:types>
        <w:behaviors>
          <w:behavior w:val="content"/>
        </w:behaviors>
        <w:guid w:val="{26D9D3D3-EE9C-43C7-B029-6BE63E6AC012}"/>
      </w:docPartPr>
      <w:docPartBody>
        <w:p w:rsidR="007F5C95" w:rsidRDefault="007F5C95">
          <w:pPr>
            <w:pStyle w:val="1CF80BA0980A424D8EEB4ACA96AA6660"/>
          </w:pPr>
          <w:r w:rsidRPr="001A5BE2">
            <w:rPr>
              <w:rStyle w:val="PlaceholderText"/>
            </w:rPr>
            <w:t>[Title]</w:t>
          </w:r>
        </w:p>
      </w:docPartBody>
    </w:docPart>
    <w:docPart>
      <w:docPartPr>
        <w:name w:val="5D8997F91DBA42D6B41CEDBAF8FC1994"/>
        <w:category>
          <w:name w:val="General"/>
          <w:gallery w:val="placeholder"/>
        </w:category>
        <w:types>
          <w:type w:val="bbPlcHdr"/>
        </w:types>
        <w:behaviors>
          <w:behavior w:val="content"/>
        </w:behaviors>
        <w:guid w:val="{9512D65A-1064-4F04-8172-933D2F1CD829}"/>
      </w:docPartPr>
      <w:docPartBody>
        <w:p w:rsidR="007F5C95" w:rsidRDefault="007F5C95">
          <w:pPr>
            <w:pStyle w:val="5D8997F91DBA42D6B41CEDBAF8FC1994"/>
          </w:pPr>
          <w:r w:rsidRPr="001A5BE2">
            <w:rPr>
              <w:rStyle w:val="PlaceholderText"/>
            </w:rPr>
            <w:t>[Subject]</w:t>
          </w:r>
        </w:p>
      </w:docPartBody>
    </w:docPart>
    <w:docPart>
      <w:docPartPr>
        <w:name w:val="96B15C59E20F42869E44B58C3F06E381"/>
        <w:category>
          <w:name w:val="General"/>
          <w:gallery w:val="placeholder"/>
        </w:category>
        <w:types>
          <w:type w:val="bbPlcHdr"/>
        </w:types>
        <w:behaviors>
          <w:behavior w:val="content"/>
        </w:behaviors>
        <w:guid w:val="{D612AF2E-8DB0-49E4-B5D7-CF8153A8EEE7}"/>
      </w:docPartPr>
      <w:docPartBody>
        <w:p w:rsidR="003C6161" w:rsidRDefault="004D35CB" w:rsidP="004D35CB">
          <w:pPr>
            <w:pStyle w:val="96B15C59E20F42869E44B58C3F06E381"/>
          </w:pPr>
          <w:r w:rsidRPr="001A5BE2">
            <w:rPr>
              <w:rStyle w:val="PlaceholderText"/>
            </w:rPr>
            <w:t>[Title]</w:t>
          </w:r>
        </w:p>
      </w:docPartBody>
    </w:docPart>
    <w:docPart>
      <w:docPartPr>
        <w:name w:val="F3BD118CAD2C4EC4A4BB7481941A38C4"/>
        <w:category>
          <w:name w:val="General"/>
          <w:gallery w:val="placeholder"/>
        </w:category>
        <w:types>
          <w:type w:val="bbPlcHdr"/>
        </w:types>
        <w:behaviors>
          <w:behavior w:val="content"/>
        </w:behaviors>
        <w:guid w:val="{C9D4C7BA-C095-4046-9863-B59770AA1FEF}"/>
      </w:docPartPr>
      <w:docPartBody>
        <w:p w:rsidR="003C6161" w:rsidRDefault="004D35CB" w:rsidP="004D35CB">
          <w:pPr>
            <w:pStyle w:val="F3BD118CAD2C4EC4A4BB7481941A38C4"/>
          </w:pPr>
          <w:r w:rsidRPr="001A5BE2">
            <w:rPr>
              <w:rStyle w:val="PlaceholderText"/>
            </w:rPr>
            <w:t>[Subject]</w:t>
          </w:r>
        </w:p>
      </w:docPartBody>
    </w:docPart>
    <w:docPart>
      <w:docPartPr>
        <w:name w:val="7B3B4A8C14F542FEBA60AD5F16E176E3"/>
        <w:category>
          <w:name w:val="General"/>
          <w:gallery w:val="placeholder"/>
        </w:category>
        <w:types>
          <w:type w:val="bbPlcHdr"/>
        </w:types>
        <w:behaviors>
          <w:behavior w:val="content"/>
        </w:behaviors>
        <w:guid w:val="{360B35D6-FF38-4437-B213-E31FE204F99C}"/>
      </w:docPartPr>
      <w:docPartBody>
        <w:p w:rsidR="003C6161" w:rsidRDefault="004D35CB" w:rsidP="004D35CB">
          <w:pPr>
            <w:pStyle w:val="7B3B4A8C14F542FEBA60AD5F16E176E3"/>
          </w:pPr>
          <w:r w:rsidRPr="001A5BE2">
            <w:rPr>
              <w:rStyle w:val="PlaceholderText"/>
            </w:rPr>
            <w:t>[Title]</w:t>
          </w:r>
        </w:p>
      </w:docPartBody>
    </w:docPart>
    <w:docPart>
      <w:docPartPr>
        <w:name w:val="D734F1E58B9245B0BA92C02D0373411C"/>
        <w:category>
          <w:name w:val="General"/>
          <w:gallery w:val="placeholder"/>
        </w:category>
        <w:types>
          <w:type w:val="bbPlcHdr"/>
        </w:types>
        <w:behaviors>
          <w:behavior w:val="content"/>
        </w:behaviors>
        <w:guid w:val="{B4249657-F209-4F6E-A009-406A990FB288}"/>
      </w:docPartPr>
      <w:docPartBody>
        <w:p w:rsidR="003C6161" w:rsidRDefault="004D35CB" w:rsidP="004D35CB">
          <w:pPr>
            <w:pStyle w:val="D734F1E58B9245B0BA92C02D0373411C"/>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95"/>
    <w:rsid w:val="00031B31"/>
    <w:rsid w:val="003C6161"/>
    <w:rsid w:val="004D35CB"/>
    <w:rsid w:val="00642ED0"/>
    <w:rsid w:val="007F5C95"/>
    <w:rsid w:val="00F7376B"/>
    <w:rsid w:val="00F76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5CB"/>
    <w:rPr>
      <w:color w:val="808080"/>
    </w:rPr>
  </w:style>
  <w:style w:type="paragraph" w:customStyle="1" w:styleId="1CF80BA0980A424D8EEB4ACA96AA6660">
    <w:name w:val="1CF80BA0980A424D8EEB4ACA96AA6660"/>
  </w:style>
  <w:style w:type="paragraph" w:customStyle="1" w:styleId="5D8997F91DBA42D6B41CEDBAF8FC1994">
    <w:name w:val="5D8997F91DBA42D6B41CEDBAF8FC1994"/>
  </w:style>
  <w:style w:type="paragraph" w:customStyle="1" w:styleId="96B15C59E20F42869E44B58C3F06E381">
    <w:name w:val="96B15C59E20F42869E44B58C3F06E381"/>
    <w:rsid w:val="004D35CB"/>
  </w:style>
  <w:style w:type="paragraph" w:customStyle="1" w:styleId="F3BD118CAD2C4EC4A4BB7481941A38C4">
    <w:name w:val="F3BD118CAD2C4EC4A4BB7481941A38C4"/>
    <w:rsid w:val="004D35CB"/>
  </w:style>
  <w:style w:type="paragraph" w:customStyle="1" w:styleId="B030FFC34A8C4EBE8E96A7F0F7D273F7">
    <w:name w:val="B030FFC34A8C4EBE8E96A7F0F7D273F7"/>
    <w:rsid w:val="004D35CB"/>
  </w:style>
  <w:style w:type="paragraph" w:customStyle="1" w:styleId="BCFAE151B0C3438586C1705E8209CF9B">
    <w:name w:val="BCFAE151B0C3438586C1705E8209CF9B"/>
    <w:rsid w:val="004D35CB"/>
  </w:style>
  <w:style w:type="paragraph" w:customStyle="1" w:styleId="7B3B4A8C14F542FEBA60AD5F16E176E3">
    <w:name w:val="7B3B4A8C14F542FEBA60AD5F16E176E3"/>
    <w:rsid w:val="004D35CB"/>
  </w:style>
  <w:style w:type="paragraph" w:customStyle="1" w:styleId="D734F1E58B9245B0BA92C02D0373411C">
    <w:name w:val="D734F1E58B9245B0BA92C02D0373411C"/>
    <w:rsid w:val="004D3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0447CF85-0518-4C54-9A31-592D66DF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Template.dotm</Template>
  <TotalTime>7</TotalTime>
  <Pages>28</Pages>
  <Words>7320</Words>
  <Characters>46926</Characters>
  <Application>Microsoft Office Word</Application>
  <DocSecurity>0</DocSecurity>
  <Lines>391</Lines>
  <Paragraphs>108</Paragraphs>
  <ScaleCrop>false</ScaleCrop>
  <HeadingPairs>
    <vt:vector size="2" baseType="variant">
      <vt:variant>
        <vt:lpstr>Title</vt:lpstr>
      </vt:variant>
      <vt:variant>
        <vt:i4>1</vt:i4>
      </vt:variant>
    </vt:vector>
  </HeadingPairs>
  <TitlesOfParts>
    <vt:vector size="1" baseType="lpstr">
      <vt:lpstr>Recommendations for the prevention of infection in intra-vascular devices</vt:lpstr>
    </vt:vector>
  </TitlesOfParts>
  <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the prevention of infection in intra-vascular devices</dc:title>
  <dc:subject>December 2019</dc:subject>
  <dc:creator>communicable Diseases</dc:creator>
  <cp:keywords>ivd,intra-vascular prevention</cp:keywords>
  <dc:description/>
  <cp:lastModifiedBy>Karen Mealing</cp:lastModifiedBy>
  <cp:revision>5</cp:revision>
  <dcterms:created xsi:type="dcterms:W3CDTF">2019-12-23T04:08:00Z</dcterms:created>
  <dcterms:modified xsi:type="dcterms:W3CDTF">2019-12-23T05:01:00Z</dcterms:modified>
</cp:coreProperties>
</file>