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D3FE" w14:textId="77777777" w:rsidR="00C17F14" w:rsidRPr="00257DCE" w:rsidRDefault="00C17F14" w:rsidP="00CE1E01">
      <w:pPr>
        <w:pStyle w:val="Heading2"/>
        <w:spacing w:before="0"/>
      </w:pPr>
      <w:bookmarkStart w:id="0" w:name="_Toc25233912"/>
      <w:bookmarkStart w:id="1" w:name="_Toc25234087"/>
      <w:bookmarkStart w:id="2" w:name="_Toc39586633"/>
      <w:bookmarkStart w:id="3" w:name="_GoBack"/>
      <w:bookmarkEnd w:id="3"/>
      <w:r>
        <w:t xml:space="preserve">C: </w:t>
      </w:r>
      <w:r w:rsidRPr="00257DCE">
        <w:t>S</w:t>
      </w:r>
      <w:r>
        <w:t>takeholder analysis</w:t>
      </w:r>
      <w:bookmarkEnd w:id="0"/>
      <w:bookmarkEnd w:id="1"/>
      <w:bookmarkEnd w:id="2"/>
    </w:p>
    <w:p w14:paraId="06225EC4" w14:textId="77777777" w:rsidR="00C37D90" w:rsidRDefault="00C17F14" w:rsidP="00C17F14">
      <w:pPr>
        <w:rPr>
          <w:rFonts w:cs="Arial"/>
        </w:rPr>
      </w:pPr>
      <w:r>
        <w:rPr>
          <w:rFonts w:cs="Arial"/>
        </w:rPr>
        <w:t xml:space="preserve">Strategic workforce planning stakeholders should be identified and engaged early and taken on the planning journey from the beginning. </w:t>
      </w:r>
      <w:r w:rsidRPr="00B26856">
        <w:rPr>
          <w:rFonts w:cs="Arial"/>
        </w:rPr>
        <w:t xml:space="preserve">Use this template to </w:t>
      </w:r>
      <w:proofErr w:type="spellStart"/>
      <w:r>
        <w:rPr>
          <w:rFonts w:cs="Arial"/>
        </w:rPr>
        <w:t>analyse</w:t>
      </w:r>
      <w:proofErr w:type="spellEnd"/>
      <w:r>
        <w:rPr>
          <w:rFonts w:cs="Arial"/>
        </w:rPr>
        <w:t xml:space="preserve"> the internal and external stakeholders who will be involved in the strategic workforce planning process or who will be impacted by its outcomes.</w:t>
      </w:r>
    </w:p>
    <w:p w14:paraId="6F9A2E1D" w14:textId="77777777" w:rsidR="00C37D90" w:rsidRDefault="00C37D90" w:rsidP="00C17F14">
      <w:pPr>
        <w:rPr>
          <w:rFonts w:cs="Arial"/>
        </w:rPr>
      </w:pPr>
    </w:p>
    <w:p w14:paraId="08E7FA9E" w14:textId="77777777" w:rsidR="00C17F14" w:rsidRDefault="00C17F14" w:rsidP="00C17F14">
      <w:pPr>
        <w:rPr>
          <w:rFonts w:cs="Arial"/>
        </w:rPr>
      </w:pPr>
      <w:r>
        <w:rPr>
          <w:rFonts w:cs="Arial"/>
        </w:rPr>
        <w:t>Consider each stakeholder’s interest area and concerns, and the influence they have over other individuals and groups, and the process. Plan strategies to engage stakeholders, and to secure their contribution to the planning process and the implementation of strategies. Highlight stakeholders who are already strategic workforce planning champions, or who could be engaged to become champions.</w:t>
      </w:r>
    </w:p>
    <w:tbl>
      <w:tblPr>
        <w:tblStyle w:val="TableGrid"/>
        <w:tblW w:w="9346" w:type="dxa"/>
        <w:tblInd w:w="5" w:type="dxa"/>
        <w:tblLook w:val="04A0" w:firstRow="1" w:lastRow="0" w:firstColumn="1" w:lastColumn="0" w:noHBand="0" w:noVBand="1"/>
      </w:tblPr>
      <w:tblGrid>
        <w:gridCol w:w="1975"/>
        <w:gridCol w:w="2410"/>
        <w:gridCol w:w="2268"/>
        <w:gridCol w:w="2693"/>
      </w:tblGrid>
      <w:tr w:rsidR="00C17F14" w:rsidRPr="008D25A9" w14:paraId="3D65F017" w14:textId="77777777" w:rsidTr="00CE1E01">
        <w:trPr>
          <w:trHeight w:val="510"/>
        </w:trPr>
        <w:tc>
          <w:tcPr>
            <w:tcW w:w="1975" w:type="dxa"/>
            <w:tcBorders>
              <w:top w:val="single" w:sz="4" w:space="0" w:color="0F5CA2" w:themeColor="accent1"/>
              <w:left w:val="single" w:sz="4" w:space="0" w:color="0F5CA2" w:themeColor="accent1"/>
              <w:bottom w:val="single" w:sz="4" w:space="0" w:color="0F5CA2" w:themeColor="accent1"/>
              <w:right w:val="single" w:sz="4" w:space="0" w:color="FFFFFF" w:themeColor="background1"/>
            </w:tcBorders>
            <w:shd w:val="clear" w:color="auto" w:fill="0F5CA2" w:themeFill="accent1"/>
            <w:vAlign w:val="center"/>
          </w:tcPr>
          <w:p w14:paraId="46863F2A" w14:textId="77777777" w:rsidR="00C17F14" w:rsidRPr="008D25A9" w:rsidRDefault="00C17F14" w:rsidP="00C17F14">
            <w:pPr>
              <w:autoSpaceDE w:val="0"/>
              <w:autoSpaceDN w:val="0"/>
              <w:adjustRightInd w:val="0"/>
              <w:spacing w:before="40" w:after="40" w:line="221" w:lineRule="atLeast"/>
              <w:jc w:val="center"/>
              <w:rPr>
                <w:rFonts w:asciiTheme="minorHAnsi" w:hAnsiTheme="minorHAnsi" w:cstheme="minorHAnsi"/>
                <w:b/>
                <w:color w:val="FFFFFF" w:themeColor="background1"/>
                <w:szCs w:val="20"/>
              </w:rPr>
            </w:pPr>
            <w:r w:rsidRPr="008D25A9">
              <w:rPr>
                <w:rFonts w:asciiTheme="minorHAnsi" w:hAnsiTheme="minorHAnsi" w:cstheme="minorHAnsi"/>
                <w:b/>
                <w:color w:val="FFFFFF" w:themeColor="background1"/>
                <w:szCs w:val="20"/>
              </w:rPr>
              <w:t>Stakeholder</w:t>
            </w:r>
          </w:p>
        </w:tc>
        <w:tc>
          <w:tcPr>
            <w:tcW w:w="2410" w:type="dxa"/>
            <w:tcBorders>
              <w:top w:val="single" w:sz="4" w:space="0" w:color="0F5CA2" w:themeColor="accent1"/>
              <w:left w:val="single" w:sz="4" w:space="0" w:color="FFFFFF" w:themeColor="background1"/>
              <w:bottom w:val="single" w:sz="4" w:space="0" w:color="0F5CA2" w:themeColor="accent1"/>
              <w:right w:val="single" w:sz="4" w:space="0" w:color="FFFFFF" w:themeColor="background1"/>
            </w:tcBorders>
            <w:shd w:val="clear" w:color="auto" w:fill="0F5CA2" w:themeFill="accent1"/>
            <w:vAlign w:val="center"/>
          </w:tcPr>
          <w:p w14:paraId="2731F7D7" w14:textId="77777777" w:rsidR="00C17F14" w:rsidRPr="008D25A9" w:rsidRDefault="00C17F14" w:rsidP="00C17F14">
            <w:pPr>
              <w:autoSpaceDE w:val="0"/>
              <w:autoSpaceDN w:val="0"/>
              <w:adjustRightInd w:val="0"/>
              <w:spacing w:before="40" w:after="40" w:line="221" w:lineRule="atLeast"/>
              <w:jc w:val="center"/>
              <w:rPr>
                <w:rFonts w:asciiTheme="minorHAnsi" w:hAnsiTheme="minorHAnsi" w:cstheme="minorHAnsi"/>
                <w:b/>
                <w:color w:val="FFFFFF" w:themeColor="background1"/>
                <w:szCs w:val="20"/>
              </w:rPr>
            </w:pPr>
            <w:r w:rsidRPr="008D25A9">
              <w:rPr>
                <w:rFonts w:asciiTheme="minorHAnsi" w:hAnsiTheme="minorHAnsi" w:cstheme="minorHAnsi"/>
                <w:b/>
                <w:color w:val="FFFFFF" w:themeColor="background1"/>
                <w:szCs w:val="20"/>
              </w:rPr>
              <w:t>Interest</w:t>
            </w:r>
          </w:p>
        </w:tc>
        <w:tc>
          <w:tcPr>
            <w:tcW w:w="2268" w:type="dxa"/>
            <w:tcBorders>
              <w:top w:val="single" w:sz="4" w:space="0" w:color="0F5CA2" w:themeColor="accent1"/>
              <w:left w:val="single" w:sz="4" w:space="0" w:color="FFFFFF" w:themeColor="background1"/>
              <w:bottom w:val="single" w:sz="4" w:space="0" w:color="0F5CA2" w:themeColor="accent1"/>
              <w:right w:val="single" w:sz="4" w:space="0" w:color="FFFFFF" w:themeColor="background1"/>
            </w:tcBorders>
            <w:shd w:val="clear" w:color="auto" w:fill="0F5CA2" w:themeFill="accent1"/>
            <w:vAlign w:val="center"/>
          </w:tcPr>
          <w:p w14:paraId="42FDB4D1" w14:textId="77777777" w:rsidR="00C17F14" w:rsidRPr="008D25A9" w:rsidRDefault="00C17F14" w:rsidP="00C17F14">
            <w:pPr>
              <w:autoSpaceDE w:val="0"/>
              <w:autoSpaceDN w:val="0"/>
              <w:adjustRightInd w:val="0"/>
              <w:spacing w:before="40" w:after="40" w:line="221" w:lineRule="atLeast"/>
              <w:jc w:val="center"/>
              <w:rPr>
                <w:rFonts w:asciiTheme="minorHAnsi" w:hAnsiTheme="minorHAnsi" w:cstheme="minorHAnsi"/>
                <w:b/>
                <w:color w:val="FFFFFF" w:themeColor="background1"/>
                <w:szCs w:val="20"/>
              </w:rPr>
            </w:pPr>
            <w:r w:rsidRPr="008D25A9">
              <w:rPr>
                <w:rFonts w:asciiTheme="minorHAnsi" w:hAnsiTheme="minorHAnsi" w:cstheme="minorHAnsi"/>
                <w:b/>
                <w:color w:val="FFFFFF" w:themeColor="background1"/>
                <w:szCs w:val="20"/>
              </w:rPr>
              <w:t>Influence</w:t>
            </w:r>
          </w:p>
        </w:tc>
        <w:tc>
          <w:tcPr>
            <w:tcW w:w="2693" w:type="dxa"/>
            <w:tcBorders>
              <w:top w:val="single" w:sz="4" w:space="0" w:color="0F5CA2" w:themeColor="accent1"/>
              <w:left w:val="single" w:sz="4" w:space="0" w:color="FFFFFF" w:themeColor="background1"/>
              <w:bottom w:val="single" w:sz="4" w:space="0" w:color="0F5CA2" w:themeColor="accent1"/>
              <w:right w:val="single" w:sz="4" w:space="0" w:color="0F5CA2" w:themeColor="accent1"/>
            </w:tcBorders>
            <w:shd w:val="clear" w:color="auto" w:fill="0F5CA2" w:themeFill="accent1"/>
            <w:vAlign w:val="center"/>
          </w:tcPr>
          <w:p w14:paraId="1A0E9B3B" w14:textId="77777777" w:rsidR="00C17F14" w:rsidRPr="008D25A9" w:rsidRDefault="00C17F14" w:rsidP="00C17F14">
            <w:pPr>
              <w:autoSpaceDE w:val="0"/>
              <w:autoSpaceDN w:val="0"/>
              <w:adjustRightInd w:val="0"/>
              <w:spacing w:before="40" w:after="40" w:line="221" w:lineRule="atLeast"/>
              <w:jc w:val="center"/>
              <w:rPr>
                <w:rFonts w:asciiTheme="minorHAnsi" w:hAnsiTheme="minorHAnsi" w:cstheme="minorHAnsi"/>
                <w:b/>
                <w:color w:val="FFFFFF" w:themeColor="background1"/>
                <w:szCs w:val="20"/>
              </w:rPr>
            </w:pPr>
            <w:r w:rsidRPr="008D25A9">
              <w:rPr>
                <w:rFonts w:asciiTheme="minorHAnsi" w:hAnsiTheme="minorHAnsi" w:cstheme="minorHAnsi"/>
                <w:b/>
                <w:color w:val="FFFFFF" w:themeColor="background1"/>
                <w:szCs w:val="20"/>
              </w:rPr>
              <w:t>Engagement</w:t>
            </w:r>
          </w:p>
        </w:tc>
      </w:tr>
      <w:tr w:rsidR="00C17F14" w:rsidRPr="008D25A9" w14:paraId="5FEF1973" w14:textId="77777777" w:rsidTr="00CE1E01">
        <w:trPr>
          <w:trHeight w:val="510"/>
        </w:trPr>
        <w:tc>
          <w:tcPr>
            <w:tcW w:w="9346" w:type="dxa"/>
            <w:gridSpan w:val="4"/>
            <w:tcBorders>
              <w:top w:val="single" w:sz="4" w:space="0" w:color="0F5CA2" w:themeColor="accent1"/>
              <w:right w:val="single" w:sz="4" w:space="0" w:color="0F5CA2" w:themeColor="accent1"/>
            </w:tcBorders>
            <w:shd w:val="pct10" w:color="auto" w:fill="auto"/>
            <w:vAlign w:val="center"/>
          </w:tcPr>
          <w:p w14:paraId="0AB86B0A"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i/>
                <w:color w:val="000000"/>
                <w:szCs w:val="20"/>
              </w:rPr>
            </w:pPr>
            <w:r w:rsidRPr="008D25A9">
              <w:rPr>
                <w:rFonts w:asciiTheme="minorHAnsi" w:hAnsiTheme="minorHAnsi" w:cstheme="minorHAnsi"/>
                <w:i/>
                <w:color w:val="000000"/>
                <w:szCs w:val="20"/>
              </w:rPr>
              <w:t>Internal stakeholders</w:t>
            </w:r>
          </w:p>
        </w:tc>
      </w:tr>
      <w:tr w:rsidR="00C17F14" w:rsidRPr="008D25A9" w14:paraId="4F732F98" w14:textId="77777777" w:rsidTr="00CE1E01">
        <w:trPr>
          <w:trHeight w:val="510"/>
        </w:trPr>
        <w:tc>
          <w:tcPr>
            <w:tcW w:w="1975" w:type="dxa"/>
            <w:tcBorders>
              <w:bottom w:val="single" w:sz="4" w:space="0" w:color="auto"/>
            </w:tcBorders>
            <w:vAlign w:val="center"/>
          </w:tcPr>
          <w:p w14:paraId="72B0412B"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410" w:type="dxa"/>
            <w:tcBorders>
              <w:bottom w:val="single" w:sz="4" w:space="0" w:color="auto"/>
            </w:tcBorders>
            <w:vAlign w:val="center"/>
          </w:tcPr>
          <w:p w14:paraId="6EC0FA24"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268" w:type="dxa"/>
            <w:tcBorders>
              <w:bottom w:val="single" w:sz="4" w:space="0" w:color="auto"/>
            </w:tcBorders>
            <w:vAlign w:val="center"/>
          </w:tcPr>
          <w:p w14:paraId="7C492A17"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693" w:type="dxa"/>
            <w:tcBorders>
              <w:bottom w:val="single" w:sz="4" w:space="0" w:color="auto"/>
              <w:right w:val="single" w:sz="4" w:space="0" w:color="0F5CA2" w:themeColor="accent1"/>
            </w:tcBorders>
            <w:vAlign w:val="center"/>
          </w:tcPr>
          <w:p w14:paraId="1DE0ADAB"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r>
      <w:tr w:rsidR="00C17F14" w:rsidRPr="008D25A9" w14:paraId="78B50EE7" w14:textId="77777777" w:rsidTr="00CE1E01">
        <w:trPr>
          <w:trHeight w:val="510"/>
        </w:trPr>
        <w:tc>
          <w:tcPr>
            <w:tcW w:w="1975" w:type="dxa"/>
            <w:tcBorders>
              <w:bottom w:val="single" w:sz="4" w:space="0" w:color="auto"/>
            </w:tcBorders>
            <w:shd w:val="pct10" w:color="auto" w:fill="auto"/>
            <w:vAlign w:val="center"/>
          </w:tcPr>
          <w:p w14:paraId="10F5B616"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410" w:type="dxa"/>
            <w:tcBorders>
              <w:bottom w:val="single" w:sz="4" w:space="0" w:color="auto"/>
            </w:tcBorders>
            <w:shd w:val="pct10" w:color="auto" w:fill="auto"/>
            <w:vAlign w:val="center"/>
          </w:tcPr>
          <w:p w14:paraId="3D5711A1"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268" w:type="dxa"/>
            <w:tcBorders>
              <w:bottom w:val="single" w:sz="4" w:space="0" w:color="auto"/>
            </w:tcBorders>
            <w:shd w:val="pct10" w:color="auto" w:fill="auto"/>
            <w:vAlign w:val="center"/>
          </w:tcPr>
          <w:p w14:paraId="504C2AB3"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693" w:type="dxa"/>
            <w:tcBorders>
              <w:bottom w:val="single" w:sz="4" w:space="0" w:color="auto"/>
              <w:right w:val="single" w:sz="4" w:space="0" w:color="0F5CA2" w:themeColor="accent1"/>
            </w:tcBorders>
            <w:shd w:val="pct10" w:color="auto" w:fill="auto"/>
            <w:vAlign w:val="center"/>
          </w:tcPr>
          <w:p w14:paraId="150EED5F"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r>
      <w:tr w:rsidR="00C17F14" w:rsidRPr="008D25A9" w14:paraId="4360090A" w14:textId="77777777" w:rsidTr="00CE1E01">
        <w:trPr>
          <w:trHeight w:val="510"/>
        </w:trPr>
        <w:tc>
          <w:tcPr>
            <w:tcW w:w="1975" w:type="dxa"/>
            <w:shd w:val="clear" w:color="auto" w:fill="auto"/>
            <w:vAlign w:val="center"/>
          </w:tcPr>
          <w:p w14:paraId="5509B95D"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410" w:type="dxa"/>
            <w:shd w:val="clear" w:color="auto" w:fill="auto"/>
            <w:vAlign w:val="center"/>
          </w:tcPr>
          <w:p w14:paraId="711911F4"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268" w:type="dxa"/>
            <w:shd w:val="clear" w:color="auto" w:fill="auto"/>
            <w:vAlign w:val="center"/>
          </w:tcPr>
          <w:p w14:paraId="69D2B06E"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693" w:type="dxa"/>
            <w:tcBorders>
              <w:right w:val="single" w:sz="4" w:space="0" w:color="0F5CA2" w:themeColor="accent1"/>
            </w:tcBorders>
            <w:shd w:val="clear" w:color="auto" w:fill="auto"/>
            <w:vAlign w:val="center"/>
          </w:tcPr>
          <w:p w14:paraId="52C7504A"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r>
      <w:tr w:rsidR="00C17F14" w:rsidRPr="008D25A9" w14:paraId="18D97EE4" w14:textId="77777777" w:rsidTr="00CE1E01">
        <w:trPr>
          <w:trHeight w:val="510"/>
        </w:trPr>
        <w:tc>
          <w:tcPr>
            <w:tcW w:w="1975" w:type="dxa"/>
            <w:tcBorders>
              <w:bottom w:val="single" w:sz="4" w:space="0" w:color="auto"/>
            </w:tcBorders>
            <w:shd w:val="pct10" w:color="auto" w:fill="auto"/>
            <w:vAlign w:val="center"/>
          </w:tcPr>
          <w:p w14:paraId="56479C86"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410" w:type="dxa"/>
            <w:tcBorders>
              <w:bottom w:val="single" w:sz="4" w:space="0" w:color="auto"/>
            </w:tcBorders>
            <w:shd w:val="pct10" w:color="auto" w:fill="auto"/>
            <w:vAlign w:val="center"/>
          </w:tcPr>
          <w:p w14:paraId="144C9CFF"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268" w:type="dxa"/>
            <w:tcBorders>
              <w:bottom w:val="single" w:sz="4" w:space="0" w:color="auto"/>
            </w:tcBorders>
            <w:shd w:val="pct10" w:color="auto" w:fill="auto"/>
            <w:vAlign w:val="center"/>
          </w:tcPr>
          <w:p w14:paraId="5A2F8DB8"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693" w:type="dxa"/>
            <w:tcBorders>
              <w:bottom w:val="single" w:sz="4" w:space="0" w:color="auto"/>
              <w:right w:val="single" w:sz="4" w:space="0" w:color="0F5CA2" w:themeColor="accent1"/>
            </w:tcBorders>
            <w:shd w:val="pct10" w:color="auto" w:fill="auto"/>
            <w:vAlign w:val="center"/>
          </w:tcPr>
          <w:p w14:paraId="6D5CB6B0"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r>
      <w:tr w:rsidR="00C17F14" w:rsidRPr="008D25A9" w14:paraId="526FA0EA" w14:textId="77777777" w:rsidTr="00CE1E01">
        <w:trPr>
          <w:trHeight w:val="510"/>
        </w:trPr>
        <w:tc>
          <w:tcPr>
            <w:tcW w:w="1975" w:type="dxa"/>
            <w:shd w:val="clear" w:color="auto" w:fill="auto"/>
            <w:vAlign w:val="center"/>
          </w:tcPr>
          <w:p w14:paraId="6AE5BB88"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410" w:type="dxa"/>
            <w:shd w:val="clear" w:color="auto" w:fill="auto"/>
            <w:vAlign w:val="center"/>
          </w:tcPr>
          <w:p w14:paraId="0A582DEC"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268" w:type="dxa"/>
            <w:shd w:val="clear" w:color="auto" w:fill="auto"/>
            <w:vAlign w:val="center"/>
          </w:tcPr>
          <w:p w14:paraId="73E65E38"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693" w:type="dxa"/>
            <w:tcBorders>
              <w:right w:val="single" w:sz="4" w:space="0" w:color="0F5CA2" w:themeColor="accent1"/>
            </w:tcBorders>
            <w:shd w:val="clear" w:color="auto" w:fill="auto"/>
            <w:vAlign w:val="center"/>
          </w:tcPr>
          <w:p w14:paraId="67B97FFB"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r>
      <w:tr w:rsidR="00C17F14" w:rsidRPr="008D25A9" w14:paraId="5E9DFFF3" w14:textId="77777777" w:rsidTr="00CE1E01">
        <w:trPr>
          <w:trHeight w:val="510"/>
        </w:trPr>
        <w:tc>
          <w:tcPr>
            <w:tcW w:w="1975" w:type="dxa"/>
            <w:tcBorders>
              <w:bottom w:val="single" w:sz="4" w:space="0" w:color="auto"/>
            </w:tcBorders>
            <w:shd w:val="pct10" w:color="auto" w:fill="auto"/>
            <w:vAlign w:val="center"/>
          </w:tcPr>
          <w:p w14:paraId="1F7D1DF5"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410" w:type="dxa"/>
            <w:tcBorders>
              <w:bottom w:val="single" w:sz="4" w:space="0" w:color="auto"/>
            </w:tcBorders>
            <w:shd w:val="pct10" w:color="auto" w:fill="auto"/>
            <w:vAlign w:val="center"/>
          </w:tcPr>
          <w:p w14:paraId="1DF2F787"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268" w:type="dxa"/>
            <w:tcBorders>
              <w:bottom w:val="single" w:sz="4" w:space="0" w:color="auto"/>
            </w:tcBorders>
            <w:shd w:val="pct10" w:color="auto" w:fill="auto"/>
            <w:vAlign w:val="center"/>
          </w:tcPr>
          <w:p w14:paraId="0D0EC060"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693" w:type="dxa"/>
            <w:tcBorders>
              <w:bottom w:val="single" w:sz="4" w:space="0" w:color="auto"/>
              <w:right w:val="single" w:sz="4" w:space="0" w:color="0F5CA2" w:themeColor="accent1"/>
            </w:tcBorders>
            <w:shd w:val="pct10" w:color="auto" w:fill="auto"/>
            <w:vAlign w:val="center"/>
          </w:tcPr>
          <w:p w14:paraId="09F6DD8C"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r>
      <w:tr w:rsidR="00C17F14" w:rsidRPr="008D25A9" w14:paraId="6FA1343F" w14:textId="77777777" w:rsidTr="00CE1E01">
        <w:trPr>
          <w:trHeight w:val="510"/>
        </w:trPr>
        <w:tc>
          <w:tcPr>
            <w:tcW w:w="1975" w:type="dxa"/>
            <w:shd w:val="clear" w:color="auto" w:fill="auto"/>
            <w:vAlign w:val="center"/>
          </w:tcPr>
          <w:p w14:paraId="6E71010A"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410" w:type="dxa"/>
            <w:shd w:val="clear" w:color="auto" w:fill="auto"/>
            <w:vAlign w:val="center"/>
          </w:tcPr>
          <w:p w14:paraId="0041CED4"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268" w:type="dxa"/>
            <w:shd w:val="clear" w:color="auto" w:fill="auto"/>
            <w:vAlign w:val="center"/>
          </w:tcPr>
          <w:p w14:paraId="77A84798"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693" w:type="dxa"/>
            <w:tcBorders>
              <w:right w:val="single" w:sz="4" w:space="0" w:color="0F5CA2" w:themeColor="accent1"/>
            </w:tcBorders>
            <w:shd w:val="clear" w:color="auto" w:fill="auto"/>
            <w:vAlign w:val="center"/>
          </w:tcPr>
          <w:p w14:paraId="0DCF9559"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r>
      <w:tr w:rsidR="00C17F14" w:rsidRPr="008D25A9" w14:paraId="3A131AA0" w14:textId="77777777" w:rsidTr="00CE1E01">
        <w:trPr>
          <w:trHeight w:val="510"/>
        </w:trPr>
        <w:tc>
          <w:tcPr>
            <w:tcW w:w="9346" w:type="dxa"/>
            <w:gridSpan w:val="4"/>
            <w:tcBorders>
              <w:right w:val="single" w:sz="4" w:space="0" w:color="0F5CA2" w:themeColor="accent1"/>
            </w:tcBorders>
            <w:shd w:val="pct10" w:color="auto" w:fill="auto"/>
            <w:vAlign w:val="center"/>
          </w:tcPr>
          <w:p w14:paraId="165E4894" w14:textId="77777777" w:rsidR="00C17F14" w:rsidRPr="008D25A9" w:rsidRDefault="00C17F14" w:rsidP="00C17F14">
            <w:pPr>
              <w:autoSpaceDE w:val="0"/>
              <w:autoSpaceDN w:val="0"/>
              <w:adjustRightInd w:val="0"/>
              <w:spacing w:line="221" w:lineRule="atLeast"/>
              <w:rPr>
                <w:rFonts w:asciiTheme="minorHAnsi" w:hAnsiTheme="minorHAnsi" w:cstheme="minorHAnsi"/>
                <w:color w:val="000000"/>
                <w:szCs w:val="20"/>
              </w:rPr>
            </w:pPr>
            <w:r w:rsidRPr="008D25A9">
              <w:rPr>
                <w:rFonts w:asciiTheme="minorHAnsi" w:hAnsiTheme="minorHAnsi" w:cstheme="minorHAnsi"/>
                <w:i/>
                <w:color w:val="000000"/>
                <w:szCs w:val="20"/>
              </w:rPr>
              <w:t>External stakeholders</w:t>
            </w:r>
          </w:p>
        </w:tc>
      </w:tr>
      <w:tr w:rsidR="00C17F14" w:rsidRPr="008D25A9" w14:paraId="3E95ADB3" w14:textId="77777777" w:rsidTr="00CE1E01">
        <w:trPr>
          <w:trHeight w:val="510"/>
        </w:trPr>
        <w:tc>
          <w:tcPr>
            <w:tcW w:w="1975" w:type="dxa"/>
            <w:tcBorders>
              <w:bottom w:val="single" w:sz="4" w:space="0" w:color="auto"/>
            </w:tcBorders>
            <w:vAlign w:val="center"/>
          </w:tcPr>
          <w:p w14:paraId="09F14332"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410" w:type="dxa"/>
            <w:tcBorders>
              <w:bottom w:val="single" w:sz="4" w:space="0" w:color="auto"/>
            </w:tcBorders>
            <w:vAlign w:val="center"/>
          </w:tcPr>
          <w:p w14:paraId="07AB8B31"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268" w:type="dxa"/>
            <w:tcBorders>
              <w:bottom w:val="single" w:sz="4" w:space="0" w:color="auto"/>
            </w:tcBorders>
            <w:vAlign w:val="center"/>
          </w:tcPr>
          <w:p w14:paraId="5B0788DA"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693" w:type="dxa"/>
            <w:tcBorders>
              <w:bottom w:val="single" w:sz="4" w:space="0" w:color="auto"/>
              <w:right w:val="single" w:sz="4" w:space="0" w:color="0F5CA2" w:themeColor="accent1"/>
            </w:tcBorders>
            <w:vAlign w:val="center"/>
          </w:tcPr>
          <w:p w14:paraId="4B19F9EC"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r>
      <w:tr w:rsidR="00C17F14" w:rsidRPr="008D25A9" w14:paraId="159098B2" w14:textId="77777777" w:rsidTr="00CE1E01">
        <w:trPr>
          <w:trHeight w:val="510"/>
        </w:trPr>
        <w:tc>
          <w:tcPr>
            <w:tcW w:w="1975" w:type="dxa"/>
            <w:shd w:val="pct10" w:color="auto" w:fill="auto"/>
            <w:vAlign w:val="center"/>
          </w:tcPr>
          <w:p w14:paraId="0F357323"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410" w:type="dxa"/>
            <w:shd w:val="pct10" w:color="auto" w:fill="auto"/>
            <w:vAlign w:val="center"/>
          </w:tcPr>
          <w:p w14:paraId="108EC7A8"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268" w:type="dxa"/>
            <w:shd w:val="pct10" w:color="auto" w:fill="auto"/>
            <w:vAlign w:val="center"/>
          </w:tcPr>
          <w:p w14:paraId="508E2583"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693" w:type="dxa"/>
            <w:tcBorders>
              <w:right w:val="single" w:sz="4" w:space="0" w:color="0F5CA2" w:themeColor="accent1"/>
            </w:tcBorders>
            <w:shd w:val="pct10" w:color="auto" w:fill="auto"/>
            <w:vAlign w:val="center"/>
          </w:tcPr>
          <w:p w14:paraId="7841F63E"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r>
      <w:tr w:rsidR="00C17F14" w:rsidRPr="008D25A9" w14:paraId="79C1AA96" w14:textId="77777777" w:rsidTr="00CE1E01">
        <w:trPr>
          <w:trHeight w:val="510"/>
        </w:trPr>
        <w:tc>
          <w:tcPr>
            <w:tcW w:w="1975" w:type="dxa"/>
            <w:tcBorders>
              <w:bottom w:val="single" w:sz="4" w:space="0" w:color="auto"/>
            </w:tcBorders>
            <w:vAlign w:val="center"/>
          </w:tcPr>
          <w:p w14:paraId="673E94FE"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410" w:type="dxa"/>
            <w:tcBorders>
              <w:bottom w:val="single" w:sz="4" w:space="0" w:color="auto"/>
            </w:tcBorders>
            <w:vAlign w:val="center"/>
          </w:tcPr>
          <w:p w14:paraId="66E6B42E"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268" w:type="dxa"/>
            <w:tcBorders>
              <w:bottom w:val="single" w:sz="4" w:space="0" w:color="auto"/>
            </w:tcBorders>
            <w:vAlign w:val="center"/>
          </w:tcPr>
          <w:p w14:paraId="3B9B35BB"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693" w:type="dxa"/>
            <w:tcBorders>
              <w:bottom w:val="single" w:sz="4" w:space="0" w:color="auto"/>
              <w:right w:val="single" w:sz="4" w:space="0" w:color="0F5CA2" w:themeColor="accent1"/>
            </w:tcBorders>
            <w:vAlign w:val="center"/>
          </w:tcPr>
          <w:p w14:paraId="4C692BC9"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r>
      <w:tr w:rsidR="00C17F14" w:rsidRPr="008D25A9" w14:paraId="0880724A" w14:textId="77777777" w:rsidTr="00CE1E01">
        <w:trPr>
          <w:trHeight w:val="510"/>
        </w:trPr>
        <w:tc>
          <w:tcPr>
            <w:tcW w:w="1975" w:type="dxa"/>
            <w:shd w:val="pct10" w:color="auto" w:fill="auto"/>
            <w:vAlign w:val="center"/>
          </w:tcPr>
          <w:p w14:paraId="15BA4444"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410" w:type="dxa"/>
            <w:shd w:val="pct10" w:color="auto" w:fill="auto"/>
            <w:vAlign w:val="center"/>
          </w:tcPr>
          <w:p w14:paraId="25D99D47"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268" w:type="dxa"/>
            <w:shd w:val="pct10" w:color="auto" w:fill="auto"/>
            <w:vAlign w:val="center"/>
          </w:tcPr>
          <w:p w14:paraId="28736597"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693" w:type="dxa"/>
            <w:tcBorders>
              <w:right w:val="single" w:sz="4" w:space="0" w:color="0F5CA2" w:themeColor="accent1"/>
            </w:tcBorders>
            <w:shd w:val="pct10" w:color="auto" w:fill="auto"/>
            <w:vAlign w:val="center"/>
          </w:tcPr>
          <w:p w14:paraId="6E0D1F8E"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r>
      <w:tr w:rsidR="00C17F14" w:rsidRPr="008D25A9" w14:paraId="46F5539B" w14:textId="77777777" w:rsidTr="00CE1E01">
        <w:trPr>
          <w:trHeight w:val="510"/>
        </w:trPr>
        <w:tc>
          <w:tcPr>
            <w:tcW w:w="1975" w:type="dxa"/>
            <w:tcBorders>
              <w:bottom w:val="single" w:sz="4" w:space="0" w:color="auto"/>
            </w:tcBorders>
            <w:vAlign w:val="center"/>
          </w:tcPr>
          <w:p w14:paraId="42AD4358"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410" w:type="dxa"/>
            <w:tcBorders>
              <w:bottom w:val="single" w:sz="4" w:space="0" w:color="auto"/>
            </w:tcBorders>
            <w:vAlign w:val="center"/>
          </w:tcPr>
          <w:p w14:paraId="0BFD653B"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268" w:type="dxa"/>
            <w:tcBorders>
              <w:bottom w:val="single" w:sz="4" w:space="0" w:color="auto"/>
            </w:tcBorders>
            <w:vAlign w:val="center"/>
          </w:tcPr>
          <w:p w14:paraId="13214F3E"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693" w:type="dxa"/>
            <w:tcBorders>
              <w:bottom w:val="single" w:sz="4" w:space="0" w:color="auto"/>
              <w:right w:val="single" w:sz="4" w:space="0" w:color="0F5CA2" w:themeColor="accent1"/>
            </w:tcBorders>
            <w:vAlign w:val="center"/>
          </w:tcPr>
          <w:p w14:paraId="7FE9C9F2"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r>
      <w:tr w:rsidR="00C17F14" w:rsidRPr="008D25A9" w14:paraId="1F141C0D" w14:textId="77777777" w:rsidTr="00CE1E01">
        <w:trPr>
          <w:trHeight w:val="510"/>
        </w:trPr>
        <w:tc>
          <w:tcPr>
            <w:tcW w:w="1975" w:type="dxa"/>
            <w:tcBorders>
              <w:bottom w:val="single" w:sz="4" w:space="0" w:color="auto"/>
            </w:tcBorders>
            <w:shd w:val="pct10" w:color="auto" w:fill="auto"/>
            <w:vAlign w:val="center"/>
          </w:tcPr>
          <w:p w14:paraId="4C95438A"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410" w:type="dxa"/>
            <w:tcBorders>
              <w:bottom w:val="single" w:sz="4" w:space="0" w:color="auto"/>
            </w:tcBorders>
            <w:shd w:val="pct10" w:color="auto" w:fill="auto"/>
            <w:vAlign w:val="center"/>
          </w:tcPr>
          <w:p w14:paraId="154CE3FF"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268" w:type="dxa"/>
            <w:tcBorders>
              <w:bottom w:val="single" w:sz="4" w:space="0" w:color="auto"/>
            </w:tcBorders>
            <w:shd w:val="pct10" w:color="auto" w:fill="auto"/>
            <w:vAlign w:val="center"/>
          </w:tcPr>
          <w:p w14:paraId="41D35F77"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693" w:type="dxa"/>
            <w:tcBorders>
              <w:bottom w:val="single" w:sz="4" w:space="0" w:color="auto"/>
              <w:right w:val="single" w:sz="4" w:space="0" w:color="0F5CA2" w:themeColor="accent1"/>
            </w:tcBorders>
            <w:shd w:val="pct10" w:color="auto" w:fill="auto"/>
            <w:vAlign w:val="center"/>
          </w:tcPr>
          <w:p w14:paraId="65022A0D"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r>
      <w:tr w:rsidR="00C17F14" w:rsidRPr="008D25A9" w14:paraId="3B663B7A" w14:textId="77777777" w:rsidTr="00CE1E01">
        <w:trPr>
          <w:trHeight w:val="510"/>
        </w:trPr>
        <w:tc>
          <w:tcPr>
            <w:tcW w:w="1975" w:type="dxa"/>
            <w:shd w:val="clear" w:color="auto" w:fill="auto"/>
            <w:vAlign w:val="center"/>
          </w:tcPr>
          <w:p w14:paraId="6184E4B4"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410" w:type="dxa"/>
            <w:shd w:val="clear" w:color="auto" w:fill="auto"/>
            <w:vAlign w:val="center"/>
          </w:tcPr>
          <w:p w14:paraId="4246C042"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268" w:type="dxa"/>
            <w:shd w:val="clear" w:color="auto" w:fill="auto"/>
            <w:vAlign w:val="center"/>
          </w:tcPr>
          <w:p w14:paraId="2F4A68E9"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c>
          <w:tcPr>
            <w:tcW w:w="2693" w:type="dxa"/>
            <w:tcBorders>
              <w:right w:val="single" w:sz="4" w:space="0" w:color="0F5CA2" w:themeColor="accent1"/>
            </w:tcBorders>
            <w:shd w:val="clear" w:color="auto" w:fill="auto"/>
            <w:vAlign w:val="center"/>
          </w:tcPr>
          <w:p w14:paraId="54A790AE" w14:textId="77777777" w:rsidR="00C17F14" w:rsidRPr="008D25A9" w:rsidRDefault="00C17F14" w:rsidP="00C17F14">
            <w:pPr>
              <w:autoSpaceDE w:val="0"/>
              <w:autoSpaceDN w:val="0"/>
              <w:adjustRightInd w:val="0"/>
              <w:spacing w:before="40" w:after="40" w:line="221" w:lineRule="atLeast"/>
              <w:rPr>
                <w:rFonts w:asciiTheme="minorHAnsi" w:hAnsiTheme="minorHAnsi" w:cstheme="minorHAnsi"/>
                <w:color w:val="000000"/>
                <w:szCs w:val="20"/>
              </w:rPr>
            </w:pPr>
          </w:p>
        </w:tc>
      </w:tr>
    </w:tbl>
    <w:p w14:paraId="5C04901C" w14:textId="77777777" w:rsidR="00CE1E01" w:rsidRDefault="00CE1E01" w:rsidP="00C17F14">
      <w:pPr>
        <w:pStyle w:val="Heading2"/>
        <w:sectPr w:rsidR="00CE1E01" w:rsidSect="00893E30">
          <w:headerReference w:type="default" r:id="rId10"/>
          <w:footerReference w:type="default" r:id="rId11"/>
          <w:footerReference w:type="first" r:id="rId12"/>
          <w:type w:val="continuous"/>
          <w:pgSz w:w="11906" w:h="16838" w:code="9"/>
          <w:pgMar w:top="1531" w:right="1133" w:bottom="1531" w:left="1531" w:header="709" w:footer="709" w:gutter="0"/>
          <w:cols w:space="708"/>
          <w:docGrid w:linePitch="360"/>
        </w:sectPr>
      </w:pPr>
      <w:bookmarkStart w:id="4" w:name="_Toc25233915"/>
      <w:bookmarkStart w:id="5" w:name="_Toc25234090"/>
      <w:bookmarkStart w:id="6" w:name="_Toc39586636"/>
    </w:p>
    <w:bookmarkEnd w:id="4"/>
    <w:bookmarkEnd w:id="5"/>
    <w:bookmarkEnd w:id="6"/>
    <w:p w14:paraId="36196561" w14:textId="77777777" w:rsidR="00757ADC" w:rsidRPr="007D6A2F" w:rsidRDefault="00757ADC" w:rsidP="00CE1E01">
      <w:pPr>
        <w:pStyle w:val="Heading2"/>
        <w:rPr>
          <w:sz w:val="14"/>
        </w:rPr>
      </w:pPr>
    </w:p>
    <w:sectPr w:rsidR="00757ADC" w:rsidRPr="007D6A2F" w:rsidSect="00CE1E01">
      <w:type w:val="continuous"/>
      <w:pgSz w:w="11906" w:h="16838" w:code="9"/>
      <w:pgMar w:top="1531" w:right="1133"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1B2D2" w14:textId="77777777" w:rsidR="00387839" w:rsidRDefault="00387839" w:rsidP="005655C9">
      <w:pPr>
        <w:spacing w:line="240" w:lineRule="auto"/>
      </w:pPr>
      <w:r>
        <w:separator/>
      </w:r>
    </w:p>
    <w:p w14:paraId="4DB5E413" w14:textId="77777777" w:rsidR="00387839" w:rsidRDefault="00387839"/>
    <w:p w14:paraId="55FB992C" w14:textId="77777777" w:rsidR="00387839" w:rsidRDefault="00387839" w:rsidP="00952B5B"/>
    <w:p w14:paraId="303018E2" w14:textId="77777777" w:rsidR="00387839" w:rsidRDefault="00387839" w:rsidP="00952B5B"/>
    <w:p w14:paraId="40375F28" w14:textId="77777777" w:rsidR="00387839" w:rsidRDefault="00387839"/>
    <w:p w14:paraId="274A5F32" w14:textId="77777777" w:rsidR="00387839" w:rsidRDefault="00387839"/>
    <w:p w14:paraId="6B32B696" w14:textId="77777777" w:rsidR="00387839" w:rsidRDefault="00387839"/>
    <w:p w14:paraId="139385E4" w14:textId="77777777" w:rsidR="00387839" w:rsidRDefault="00387839"/>
  </w:endnote>
  <w:endnote w:type="continuationSeparator" w:id="0">
    <w:p w14:paraId="74370813" w14:textId="77777777" w:rsidR="00387839" w:rsidRDefault="00387839" w:rsidP="005655C9">
      <w:pPr>
        <w:spacing w:line="240" w:lineRule="auto"/>
      </w:pPr>
      <w:r>
        <w:continuationSeparator/>
      </w:r>
    </w:p>
    <w:p w14:paraId="7E3DA42E" w14:textId="77777777" w:rsidR="00387839" w:rsidRDefault="00387839"/>
    <w:p w14:paraId="1DD06C7A" w14:textId="77777777" w:rsidR="00387839" w:rsidRDefault="00387839" w:rsidP="00952B5B"/>
    <w:p w14:paraId="5FDE5039" w14:textId="77777777" w:rsidR="00387839" w:rsidRDefault="00387839" w:rsidP="00952B5B"/>
    <w:p w14:paraId="6EB8749E" w14:textId="77777777" w:rsidR="00387839" w:rsidRDefault="00387839"/>
    <w:p w14:paraId="355ED067" w14:textId="77777777" w:rsidR="00387839" w:rsidRDefault="00387839"/>
    <w:p w14:paraId="116DD4C4" w14:textId="77777777" w:rsidR="00387839" w:rsidRDefault="00387839"/>
    <w:p w14:paraId="3D881269" w14:textId="77777777" w:rsidR="00387839" w:rsidRDefault="00387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panose1 w:val="00000000000000000000"/>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Arial"/>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ndon Text Light">
    <w:altName w:val="Calibri"/>
    <w:panose1 w:val="00000000000000000000"/>
    <w:charset w:val="00"/>
    <w:family w:val="swiss"/>
    <w:notTrueType/>
    <w:pitch w:val="default"/>
    <w:sig w:usb0="00000003" w:usb1="00000000" w:usb2="00000000" w:usb3="00000000" w:csb0="00000001" w:csb1="00000000"/>
  </w:font>
  <w:font w:name="Brandon Text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FA05" w14:textId="686D6C58" w:rsidR="00C83692" w:rsidRDefault="00360132" w:rsidP="00EB0EA5">
    <w:pPr>
      <w:pStyle w:val="Footer"/>
    </w:pPr>
    <w:sdt>
      <w:sdtPr>
        <w:alias w:val="Title"/>
        <w:tag w:val=""/>
        <w:id w:val="-1529179171"/>
        <w:dataBinding w:prefixMappings="xmlns:ns0='http://purl.org/dc/elements/1.1/' xmlns:ns1='http://schemas.openxmlformats.org/package/2006/metadata/core-properties' " w:xpath="/ns1:coreProperties[1]/ns0:title[1]" w:storeItemID="{6C3C8BC8-F283-45AE-878A-BAB7291924A1}"/>
        <w:text/>
      </w:sdtPr>
      <w:sdtEndPr/>
      <w:sdtContent>
        <w:r>
          <w:t>Strategic health workforce planning framework toolkit - stakeholder analysis</w:t>
        </w:r>
      </w:sdtContent>
    </w:sdt>
    <w:r w:rsidR="00C83692">
      <w:t xml:space="preserve"> - </w:t>
    </w:r>
    <w:sdt>
      <w:sdtPr>
        <w:alias w:val="Subject"/>
        <w:tag w:val=""/>
        <w:id w:val="-732629842"/>
        <w:dataBinding w:prefixMappings="xmlns:ns0='http://purl.org/dc/elements/1.1/' xmlns:ns1='http://schemas.openxmlformats.org/package/2006/metadata/core-properties' " w:xpath="/ns1:coreProperties[1]/ns0:subject[1]" w:storeItemID="{6C3C8BC8-F283-45AE-878A-BAB7291924A1}"/>
        <w:text/>
      </w:sdtPr>
      <w:sdtEndPr/>
      <w:sdtContent>
        <w:r>
          <w:t xml:space="preserve">Toolkit stakeholder analysis to assist with strategic health workforce planning </w:t>
        </w:r>
      </w:sdtContent>
    </w:sdt>
    <w:r w:rsidR="00C83692">
      <w:t xml:space="preserve"> </w:t>
    </w:r>
    <w:r w:rsidR="00225F25">
      <w:ptab w:relativeTo="margin" w:alignment="right" w:leader="none"/>
    </w:r>
    <w:r w:rsidR="00225F25">
      <w:t xml:space="preserve">Page </w:t>
    </w:r>
    <w:r w:rsidR="00CE1E01">
      <w:rPr>
        <w:b/>
        <w:b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469D" w14:textId="2D3DB51F" w:rsidR="00C83692" w:rsidRDefault="00360132" w:rsidP="00757ADC">
    <w:pPr>
      <w:pStyle w:val="Footer"/>
      <w:tabs>
        <w:tab w:val="clear" w:pos="4513"/>
        <w:tab w:val="center" w:pos="5245"/>
      </w:tabs>
    </w:pPr>
    <w:sdt>
      <w:sdtPr>
        <w:alias w:val="Title"/>
        <w:tag w:val=""/>
        <w:id w:val="409278079"/>
        <w:placeholder>
          <w:docPart w:val="8448D6FCEF6B445F842C4B706E55727B"/>
        </w:placeholder>
        <w:dataBinding w:prefixMappings="xmlns:ns0='http://purl.org/dc/elements/1.1/' xmlns:ns1='http://schemas.openxmlformats.org/package/2006/metadata/core-properties' " w:xpath="/ns1:coreProperties[1]/ns0:title[1]" w:storeItemID="{6C3C8BC8-F283-45AE-878A-BAB7291924A1}"/>
        <w:text/>
      </w:sdtPr>
      <w:sdtEndPr/>
      <w:sdtContent>
        <w:r>
          <w:t>Strategic health workforce planning framework toolkit - stakeholder analysis</w:t>
        </w:r>
      </w:sdtContent>
    </w:sdt>
    <w:r w:rsidR="00C83692">
      <w:t xml:space="preserve"> - </w:t>
    </w:r>
    <w:sdt>
      <w:sdtPr>
        <w:alias w:val="Subject"/>
        <w:tag w:val=""/>
        <w:id w:val="1311439977"/>
        <w:placeholder>
          <w:docPart w:val="E93BF3804794405CAA6ECA10DA012073"/>
        </w:placeholder>
        <w:dataBinding w:prefixMappings="xmlns:ns0='http://purl.org/dc/elements/1.1/' xmlns:ns1='http://schemas.openxmlformats.org/package/2006/metadata/core-properties' " w:xpath="/ns1:coreProperties[1]/ns0:subject[1]" w:storeItemID="{6C3C8BC8-F283-45AE-878A-BAB7291924A1}"/>
        <w:text/>
      </w:sdtPr>
      <w:sdtEndPr/>
      <w:sdtContent>
        <w:r>
          <w:t xml:space="preserve">Toolkit stakeholder analysis to assist with strategic health workforce planning </w:t>
        </w:r>
      </w:sdtContent>
    </w:sdt>
    <w:r w:rsidR="00C83692">
      <w:t xml:space="preserve"> </w:t>
    </w:r>
    <w:r w:rsidR="00C8369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8B113" w14:textId="77777777" w:rsidR="00387839" w:rsidRPr="00DB3896" w:rsidRDefault="00387839" w:rsidP="00DB3896">
      <w:pPr>
        <w:spacing w:line="240" w:lineRule="auto"/>
        <w:rPr>
          <w:color w:val="D9D9D9" w:themeColor="background1" w:themeShade="D9"/>
        </w:rPr>
      </w:pPr>
      <w:r w:rsidRPr="007638A8">
        <w:rPr>
          <w:color w:val="D9D9D9" w:themeColor="background1" w:themeShade="D9"/>
        </w:rPr>
        <w:separator/>
      </w:r>
    </w:p>
    <w:p w14:paraId="24FE05E4" w14:textId="77777777" w:rsidR="00387839" w:rsidRDefault="00387839"/>
    <w:p w14:paraId="4034BA18" w14:textId="77777777" w:rsidR="00387839" w:rsidRDefault="00387839"/>
    <w:p w14:paraId="41D40263" w14:textId="77777777" w:rsidR="00387839" w:rsidRDefault="00387839"/>
  </w:footnote>
  <w:footnote w:type="continuationSeparator" w:id="0">
    <w:p w14:paraId="4060B552" w14:textId="77777777" w:rsidR="00387839" w:rsidRDefault="00387839" w:rsidP="005655C9">
      <w:pPr>
        <w:spacing w:line="240" w:lineRule="auto"/>
      </w:pPr>
      <w:r>
        <w:continuationSeparator/>
      </w:r>
    </w:p>
    <w:p w14:paraId="5918F483" w14:textId="77777777" w:rsidR="00387839" w:rsidRDefault="00387839"/>
    <w:p w14:paraId="2D692ABF" w14:textId="77777777" w:rsidR="00387839" w:rsidRDefault="00387839" w:rsidP="00952B5B"/>
    <w:p w14:paraId="36999D1B" w14:textId="77777777" w:rsidR="00387839" w:rsidRDefault="00387839" w:rsidP="00952B5B"/>
    <w:p w14:paraId="3E2CE5BB" w14:textId="77777777" w:rsidR="00387839" w:rsidRDefault="00387839"/>
    <w:p w14:paraId="5B76175D" w14:textId="77777777" w:rsidR="00387839" w:rsidRDefault="00387839"/>
    <w:p w14:paraId="5C6B4238" w14:textId="77777777" w:rsidR="00387839" w:rsidRDefault="00387839"/>
    <w:p w14:paraId="19D84CB7" w14:textId="77777777" w:rsidR="00387839" w:rsidRDefault="00387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3114" w14:textId="77777777" w:rsidR="00C83692" w:rsidRPr="00225F25" w:rsidRDefault="00225F25" w:rsidP="00225F25">
    <w:pPr>
      <w:pStyle w:val="Header"/>
      <w:tabs>
        <w:tab w:val="clear" w:pos="4513"/>
        <w:tab w:val="clear" w:pos="9026"/>
        <w:tab w:val="left" w:pos="1657"/>
      </w:tabs>
      <w:spacing w:before="240"/>
      <w:rPr>
        <w:b/>
        <w:bCs/>
      </w:rPr>
    </w:pPr>
    <w:r w:rsidRPr="00225F25">
      <w:rPr>
        <w:b/>
        <w:bCs/>
        <w:noProof/>
      </w:rPr>
      <w:drawing>
        <wp:anchor distT="0" distB="0" distL="114300" distR="114300" simplePos="0" relativeHeight="251659264" behindDoc="1" locked="0" layoutInCell="1" allowOverlap="1" wp14:anchorId="3846AACC" wp14:editId="0A132F00">
          <wp:simplePos x="0" y="0"/>
          <wp:positionH relativeFrom="column">
            <wp:posOffset>-962660</wp:posOffset>
          </wp:positionH>
          <wp:positionV relativeFrom="page">
            <wp:posOffset>-11166</wp:posOffset>
          </wp:positionV>
          <wp:extent cx="15116175" cy="1303020"/>
          <wp:effectExtent l="0" t="0" r="9525" b="0"/>
          <wp:wrapNone/>
          <wp:docPr id="4" name="Picture 4"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F25">
      <w:rPr>
        <w:b/>
        <w:bCs/>
        <w:noProof/>
      </w:rPr>
      <w:t>Strategic health workforce planning framework toolkit - Resource</w:t>
    </w:r>
    <w:r w:rsidRPr="00225F25">
      <w:rPr>
        <w:b/>
        <w:bCs/>
      </w:rPr>
      <w:tab/>
    </w:r>
  </w:p>
  <w:p w14:paraId="286DCA5F" w14:textId="77777777" w:rsidR="00C83692" w:rsidRDefault="00C836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2F5565"/>
    <w:multiLevelType w:val="hybridMultilevel"/>
    <w:tmpl w:val="9E943B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3110EAB"/>
    <w:multiLevelType w:val="hybridMultilevel"/>
    <w:tmpl w:val="D230F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AB06A21"/>
    <w:multiLevelType w:val="hybridMultilevel"/>
    <w:tmpl w:val="7BDA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64AEF"/>
    <w:multiLevelType w:val="hybridMultilevel"/>
    <w:tmpl w:val="F2E26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C281BF4"/>
    <w:multiLevelType w:val="hybridMultilevel"/>
    <w:tmpl w:val="2CA29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094328"/>
    <w:multiLevelType w:val="multilevel"/>
    <w:tmpl w:val="C2FE460C"/>
    <w:numStyleLink w:val="Bullets"/>
  </w:abstractNum>
  <w:abstractNum w:abstractNumId="11"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2" w15:restartNumberingAfterBreak="0">
    <w:nsid w:val="53FD60E0"/>
    <w:multiLevelType w:val="hybridMultilevel"/>
    <w:tmpl w:val="928C8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E908B1"/>
    <w:multiLevelType w:val="hybridMultilevel"/>
    <w:tmpl w:val="AF140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61380"/>
    <w:multiLevelType w:val="hybridMultilevel"/>
    <w:tmpl w:val="B20ADC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66633EF"/>
    <w:multiLevelType w:val="hybridMultilevel"/>
    <w:tmpl w:val="18108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127092"/>
    <w:multiLevelType w:val="hybridMultilevel"/>
    <w:tmpl w:val="D67E3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1838D5"/>
    <w:multiLevelType w:val="hybridMultilevel"/>
    <w:tmpl w:val="FA94B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11"/>
  </w:num>
  <w:num w:numId="6">
    <w:abstractNumId w:val="10"/>
  </w:num>
  <w:num w:numId="7">
    <w:abstractNumId w:val="1"/>
  </w:num>
  <w:num w:numId="8">
    <w:abstractNumId w:val="9"/>
  </w:num>
  <w:num w:numId="9">
    <w:abstractNumId w:val="15"/>
  </w:num>
  <w:num w:numId="10">
    <w:abstractNumId w:val="7"/>
  </w:num>
  <w:num w:numId="11">
    <w:abstractNumId w:val="17"/>
  </w:num>
  <w:num w:numId="12">
    <w:abstractNumId w:val="13"/>
  </w:num>
  <w:num w:numId="13">
    <w:abstractNumId w:val="6"/>
  </w:num>
  <w:num w:numId="14">
    <w:abstractNumId w:val="14"/>
  </w:num>
  <w:num w:numId="15">
    <w:abstractNumId w:val="16"/>
  </w:num>
  <w:num w:numId="16">
    <w:abstractNumId w:val="4"/>
  </w:num>
  <w:num w:numId="17">
    <w:abstractNumId w:val="2"/>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0" w:nlCheck="1" w:checkStyle="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5E"/>
    <w:rsid w:val="0000006D"/>
    <w:rsid w:val="00002B1B"/>
    <w:rsid w:val="0000330E"/>
    <w:rsid w:val="00004C05"/>
    <w:rsid w:val="000102EE"/>
    <w:rsid w:val="00011ACB"/>
    <w:rsid w:val="00016271"/>
    <w:rsid w:val="000177FA"/>
    <w:rsid w:val="00020E27"/>
    <w:rsid w:val="00022D7A"/>
    <w:rsid w:val="00022DDB"/>
    <w:rsid w:val="00030AB2"/>
    <w:rsid w:val="000317F2"/>
    <w:rsid w:val="0003774E"/>
    <w:rsid w:val="000379C7"/>
    <w:rsid w:val="0004535D"/>
    <w:rsid w:val="00047071"/>
    <w:rsid w:val="00050FE6"/>
    <w:rsid w:val="00054FA5"/>
    <w:rsid w:val="000563EB"/>
    <w:rsid w:val="00056BD6"/>
    <w:rsid w:val="00060860"/>
    <w:rsid w:val="00065A54"/>
    <w:rsid w:val="00066B7B"/>
    <w:rsid w:val="000712C1"/>
    <w:rsid w:val="00071708"/>
    <w:rsid w:val="00073919"/>
    <w:rsid w:val="00073925"/>
    <w:rsid w:val="00077EFB"/>
    <w:rsid w:val="00082AE4"/>
    <w:rsid w:val="00082F11"/>
    <w:rsid w:val="0008374B"/>
    <w:rsid w:val="00085A5D"/>
    <w:rsid w:val="00090157"/>
    <w:rsid w:val="00091A60"/>
    <w:rsid w:val="00093BC2"/>
    <w:rsid w:val="000966DF"/>
    <w:rsid w:val="00096726"/>
    <w:rsid w:val="000970A8"/>
    <w:rsid w:val="00097362"/>
    <w:rsid w:val="000A06CE"/>
    <w:rsid w:val="000A0A62"/>
    <w:rsid w:val="000A0ACD"/>
    <w:rsid w:val="000A1C20"/>
    <w:rsid w:val="000A5480"/>
    <w:rsid w:val="000A5C61"/>
    <w:rsid w:val="000A66BF"/>
    <w:rsid w:val="000A71FA"/>
    <w:rsid w:val="000B2BCA"/>
    <w:rsid w:val="000B72B4"/>
    <w:rsid w:val="000C4228"/>
    <w:rsid w:val="000D0B02"/>
    <w:rsid w:val="000D154F"/>
    <w:rsid w:val="000D31C5"/>
    <w:rsid w:val="000D39E0"/>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25F25"/>
    <w:rsid w:val="002301B6"/>
    <w:rsid w:val="002309A1"/>
    <w:rsid w:val="002315D9"/>
    <w:rsid w:val="002373F8"/>
    <w:rsid w:val="00240836"/>
    <w:rsid w:val="00240897"/>
    <w:rsid w:val="002449FC"/>
    <w:rsid w:val="00245840"/>
    <w:rsid w:val="002479A4"/>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1660"/>
    <w:rsid w:val="00314153"/>
    <w:rsid w:val="00314B98"/>
    <w:rsid w:val="00316B60"/>
    <w:rsid w:val="00316C21"/>
    <w:rsid w:val="00317E0F"/>
    <w:rsid w:val="0032406F"/>
    <w:rsid w:val="003324A5"/>
    <w:rsid w:val="00333D1A"/>
    <w:rsid w:val="003341F1"/>
    <w:rsid w:val="003353E9"/>
    <w:rsid w:val="00341F88"/>
    <w:rsid w:val="00344CD5"/>
    <w:rsid w:val="003461A3"/>
    <w:rsid w:val="003464AA"/>
    <w:rsid w:val="00350750"/>
    <w:rsid w:val="00350C0A"/>
    <w:rsid w:val="003529B3"/>
    <w:rsid w:val="00352B72"/>
    <w:rsid w:val="00354930"/>
    <w:rsid w:val="00355039"/>
    <w:rsid w:val="00357128"/>
    <w:rsid w:val="00360132"/>
    <w:rsid w:val="003605F9"/>
    <w:rsid w:val="00362C15"/>
    <w:rsid w:val="00364062"/>
    <w:rsid w:val="003661B9"/>
    <w:rsid w:val="003670B4"/>
    <w:rsid w:val="00373DF9"/>
    <w:rsid w:val="0037411B"/>
    <w:rsid w:val="00376393"/>
    <w:rsid w:val="00387381"/>
    <w:rsid w:val="00387839"/>
    <w:rsid w:val="003878E3"/>
    <w:rsid w:val="00395EFF"/>
    <w:rsid w:val="003A2B34"/>
    <w:rsid w:val="003A6203"/>
    <w:rsid w:val="003B1457"/>
    <w:rsid w:val="003B6431"/>
    <w:rsid w:val="003B7ED7"/>
    <w:rsid w:val="003C775C"/>
    <w:rsid w:val="003D2D25"/>
    <w:rsid w:val="003E174B"/>
    <w:rsid w:val="003E5191"/>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317B"/>
    <w:rsid w:val="00436F69"/>
    <w:rsid w:val="00442878"/>
    <w:rsid w:val="00444053"/>
    <w:rsid w:val="00444C11"/>
    <w:rsid w:val="0044735C"/>
    <w:rsid w:val="00447A4C"/>
    <w:rsid w:val="00460114"/>
    <w:rsid w:val="00460870"/>
    <w:rsid w:val="00462408"/>
    <w:rsid w:val="00462C04"/>
    <w:rsid w:val="00462DC3"/>
    <w:rsid w:val="00463275"/>
    <w:rsid w:val="004652CC"/>
    <w:rsid w:val="00473EC6"/>
    <w:rsid w:val="00474C27"/>
    <w:rsid w:val="0047576D"/>
    <w:rsid w:val="0048181E"/>
    <w:rsid w:val="00482CC3"/>
    <w:rsid w:val="004831D3"/>
    <w:rsid w:val="00484A97"/>
    <w:rsid w:val="004866E5"/>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7A1"/>
    <w:rsid w:val="004F1C97"/>
    <w:rsid w:val="004F4A08"/>
    <w:rsid w:val="00500A17"/>
    <w:rsid w:val="00501377"/>
    <w:rsid w:val="00505703"/>
    <w:rsid w:val="005138A2"/>
    <w:rsid w:val="00513E2B"/>
    <w:rsid w:val="005205B8"/>
    <w:rsid w:val="00521B45"/>
    <w:rsid w:val="00524A14"/>
    <w:rsid w:val="0052755E"/>
    <w:rsid w:val="005277E7"/>
    <w:rsid w:val="00531475"/>
    <w:rsid w:val="00531752"/>
    <w:rsid w:val="00536EFE"/>
    <w:rsid w:val="005433C7"/>
    <w:rsid w:val="0054704A"/>
    <w:rsid w:val="00553A02"/>
    <w:rsid w:val="00555240"/>
    <w:rsid w:val="00555902"/>
    <w:rsid w:val="0056004A"/>
    <w:rsid w:val="0056129F"/>
    <w:rsid w:val="005619DA"/>
    <w:rsid w:val="005655C9"/>
    <w:rsid w:val="00566B11"/>
    <w:rsid w:val="00575D7E"/>
    <w:rsid w:val="00577AF8"/>
    <w:rsid w:val="00580230"/>
    <w:rsid w:val="0058662F"/>
    <w:rsid w:val="005871AA"/>
    <w:rsid w:val="005951EE"/>
    <w:rsid w:val="005965C9"/>
    <w:rsid w:val="00596729"/>
    <w:rsid w:val="005A2F1B"/>
    <w:rsid w:val="005A50DE"/>
    <w:rsid w:val="005A7842"/>
    <w:rsid w:val="005A7C02"/>
    <w:rsid w:val="005B2A03"/>
    <w:rsid w:val="005B3180"/>
    <w:rsid w:val="005B57AE"/>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5ADD"/>
    <w:rsid w:val="006C023D"/>
    <w:rsid w:val="006C3FB6"/>
    <w:rsid w:val="006D7458"/>
    <w:rsid w:val="006F0A87"/>
    <w:rsid w:val="006F77E7"/>
    <w:rsid w:val="007110FF"/>
    <w:rsid w:val="007135A8"/>
    <w:rsid w:val="00724065"/>
    <w:rsid w:val="0072754B"/>
    <w:rsid w:val="007321AB"/>
    <w:rsid w:val="00734807"/>
    <w:rsid w:val="0073685D"/>
    <w:rsid w:val="007404B1"/>
    <w:rsid w:val="0074617E"/>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35BF"/>
    <w:rsid w:val="007B5450"/>
    <w:rsid w:val="007B66B8"/>
    <w:rsid w:val="007B680B"/>
    <w:rsid w:val="007B7B0D"/>
    <w:rsid w:val="007B7BBC"/>
    <w:rsid w:val="007B7EA6"/>
    <w:rsid w:val="007C0D8F"/>
    <w:rsid w:val="007C71ED"/>
    <w:rsid w:val="007D1EBB"/>
    <w:rsid w:val="007D1F6C"/>
    <w:rsid w:val="007D2DCB"/>
    <w:rsid w:val="007D344A"/>
    <w:rsid w:val="007D6A2F"/>
    <w:rsid w:val="007E2E42"/>
    <w:rsid w:val="007E350E"/>
    <w:rsid w:val="007E3D08"/>
    <w:rsid w:val="007E6348"/>
    <w:rsid w:val="007E6AB3"/>
    <w:rsid w:val="007E7BA4"/>
    <w:rsid w:val="007F282D"/>
    <w:rsid w:val="007F2BC9"/>
    <w:rsid w:val="007F2DC6"/>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273C"/>
    <w:rsid w:val="008911F2"/>
    <w:rsid w:val="00893741"/>
    <w:rsid w:val="00893E30"/>
    <w:rsid w:val="00897DA3"/>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2F"/>
    <w:rsid w:val="008F7945"/>
    <w:rsid w:val="009019A2"/>
    <w:rsid w:val="00901FFD"/>
    <w:rsid w:val="00903887"/>
    <w:rsid w:val="00905500"/>
    <w:rsid w:val="00905B58"/>
    <w:rsid w:val="00907041"/>
    <w:rsid w:val="00907AE9"/>
    <w:rsid w:val="009111AB"/>
    <w:rsid w:val="00914181"/>
    <w:rsid w:val="00915748"/>
    <w:rsid w:val="00917AFE"/>
    <w:rsid w:val="00921916"/>
    <w:rsid w:val="00922111"/>
    <w:rsid w:val="009230D6"/>
    <w:rsid w:val="00923E23"/>
    <w:rsid w:val="009248CC"/>
    <w:rsid w:val="00926742"/>
    <w:rsid w:val="009302A2"/>
    <w:rsid w:val="00930FDA"/>
    <w:rsid w:val="00931347"/>
    <w:rsid w:val="009337DB"/>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62D5"/>
    <w:rsid w:val="00AA7264"/>
    <w:rsid w:val="00AA767D"/>
    <w:rsid w:val="00AB1155"/>
    <w:rsid w:val="00AB34FD"/>
    <w:rsid w:val="00AB51C9"/>
    <w:rsid w:val="00AB717A"/>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17F14"/>
    <w:rsid w:val="00C202BD"/>
    <w:rsid w:val="00C230FB"/>
    <w:rsid w:val="00C2449F"/>
    <w:rsid w:val="00C31308"/>
    <w:rsid w:val="00C37D90"/>
    <w:rsid w:val="00C406BB"/>
    <w:rsid w:val="00C411F6"/>
    <w:rsid w:val="00C44CC2"/>
    <w:rsid w:val="00C463CB"/>
    <w:rsid w:val="00C50FF0"/>
    <w:rsid w:val="00C62BF6"/>
    <w:rsid w:val="00C66D8F"/>
    <w:rsid w:val="00C673B8"/>
    <w:rsid w:val="00C71484"/>
    <w:rsid w:val="00C76224"/>
    <w:rsid w:val="00C76568"/>
    <w:rsid w:val="00C83692"/>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1E01"/>
    <w:rsid w:val="00CE2F66"/>
    <w:rsid w:val="00CE5B34"/>
    <w:rsid w:val="00CF2A7E"/>
    <w:rsid w:val="00CF3E36"/>
    <w:rsid w:val="00CF6AFB"/>
    <w:rsid w:val="00CF766A"/>
    <w:rsid w:val="00D03115"/>
    <w:rsid w:val="00D07EAA"/>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1381"/>
    <w:rsid w:val="00D82B75"/>
    <w:rsid w:val="00D851C4"/>
    <w:rsid w:val="00D90EB7"/>
    <w:rsid w:val="00D96285"/>
    <w:rsid w:val="00D96F6C"/>
    <w:rsid w:val="00D97072"/>
    <w:rsid w:val="00DA1A3A"/>
    <w:rsid w:val="00DB0A95"/>
    <w:rsid w:val="00DB0C46"/>
    <w:rsid w:val="00DB0E5A"/>
    <w:rsid w:val="00DB1D3D"/>
    <w:rsid w:val="00DB3896"/>
    <w:rsid w:val="00DB7614"/>
    <w:rsid w:val="00DB7647"/>
    <w:rsid w:val="00DC16F3"/>
    <w:rsid w:val="00DC2FD2"/>
    <w:rsid w:val="00DC5219"/>
    <w:rsid w:val="00DD1908"/>
    <w:rsid w:val="00DD2D88"/>
    <w:rsid w:val="00DD3033"/>
    <w:rsid w:val="00DD5E17"/>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47CB6"/>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0BAF"/>
    <w:rsid w:val="00ED1EEA"/>
    <w:rsid w:val="00EE0CAC"/>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243B"/>
    <w:rsid w:val="00FA330E"/>
    <w:rsid w:val="00FA4298"/>
    <w:rsid w:val="00FA5B33"/>
    <w:rsid w:val="00FA7309"/>
    <w:rsid w:val="00FB0A93"/>
    <w:rsid w:val="00FB3F55"/>
    <w:rsid w:val="00FB5F87"/>
    <w:rsid w:val="00FB7898"/>
    <w:rsid w:val="00FC1E89"/>
    <w:rsid w:val="00FD12A8"/>
    <w:rsid w:val="00FD19C7"/>
    <w:rsid w:val="00FD3061"/>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6E255E66"/>
  <w14:discardImageEditingData/>
  <w14:defaultImageDpi w14:val="330"/>
  <w15:chartTrackingRefBased/>
  <w15:docId w15:val="{5311072C-3194-4C01-8E90-7381B81A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9"/>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rsid w:val="008D7AC0"/>
    <w:rPr>
      <w:rFonts w:eastAsia="Times New Roman" w:cs="Arial"/>
      <w:color w:val="000000"/>
      <w:sz w:val="16"/>
      <w:szCs w:val="18"/>
      <w:lang w:eastAsia="en-AU"/>
    </w:rPr>
  </w:style>
  <w:style w:type="character" w:styleId="Hyperlink">
    <w:name w:val="Hyperlink"/>
    <w:uiPriority w:val="9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39"/>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39"/>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39"/>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39"/>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1"/>
    <w:qFormat/>
    <w:rsid w:val="008D7AC0"/>
  </w:style>
  <w:style w:type="character" w:customStyle="1" w:styleId="NoSpacingChar">
    <w:name w:val="No Spacing Char"/>
    <w:basedOn w:val="DefaultParagraphFont"/>
    <w:link w:val="NoSpacing"/>
    <w:uiPriority w:val="1"/>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aliases w:val="Bullet copy"/>
    <w:basedOn w:val="BodyText"/>
    <w:uiPriority w:val="34"/>
    <w:qFormat/>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9"/>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0"/>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0"/>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1"/>
    <w:qFormat/>
    <w:rsid w:val="002D755A"/>
    <w:rPr>
      <w:i/>
      <w:iCs/>
      <w:color w:val="105674" w:themeColor="accent3" w:themeShade="80"/>
    </w:rPr>
  </w:style>
  <w:style w:type="character" w:styleId="UnresolvedMention">
    <w:name w:val="Unresolved Mention"/>
    <w:basedOn w:val="DefaultParagraphFont"/>
    <w:uiPriority w:val="99"/>
    <w:unhideWhenUsed/>
    <w:rsid w:val="008D7AC0"/>
    <w:rPr>
      <w:color w:val="808080"/>
      <w:shd w:val="clear" w:color="auto" w:fill="E6E6E6"/>
    </w:rPr>
  </w:style>
  <w:style w:type="paragraph" w:styleId="Quote">
    <w:name w:val="Quote"/>
    <w:aliases w:val="Standard Quote"/>
    <w:basedOn w:val="BodyText"/>
    <w:next w:val="BodyText"/>
    <w:link w:val="QuoteChar"/>
    <w:uiPriority w:val="29"/>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29"/>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19"/>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22"/>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Emphasis">
    <w:name w:val="Emphasis"/>
    <w:basedOn w:val="DefaultParagraphFont"/>
    <w:uiPriority w:val="20"/>
    <w:rsid w:val="00C17F14"/>
    <w:rPr>
      <w:i/>
      <w:iCs/>
    </w:rPr>
  </w:style>
  <w:style w:type="character" w:styleId="SubtleReference">
    <w:name w:val="Subtle Reference"/>
    <w:basedOn w:val="DefaultParagraphFont"/>
    <w:uiPriority w:val="31"/>
    <w:rsid w:val="00C17F14"/>
    <w:rPr>
      <w:smallCaps/>
      <w:color w:val="5A5A5A" w:themeColor="text1" w:themeTint="A5"/>
    </w:rPr>
  </w:style>
  <w:style w:type="character" w:styleId="IntenseReference">
    <w:name w:val="Intense Reference"/>
    <w:basedOn w:val="DefaultParagraphFont"/>
    <w:uiPriority w:val="32"/>
    <w:rsid w:val="00C17F14"/>
    <w:rPr>
      <w:b/>
      <w:bCs/>
      <w:smallCaps/>
      <w:color w:val="auto"/>
      <w:spacing w:val="5"/>
    </w:rPr>
  </w:style>
  <w:style w:type="character" w:styleId="BookTitle">
    <w:name w:val="Book Title"/>
    <w:basedOn w:val="DefaultParagraphFont"/>
    <w:uiPriority w:val="33"/>
    <w:rsid w:val="00C17F14"/>
    <w:rPr>
      <w:b/>
      <w:bCs/>
      <w:i/>
      <w:iCs/>
      <w:spacing w:val="5"/>
    </w:rPr>
  </w:style>
  <w:style w:type="paragraph" w:customStyle="1" w:styleId="Title1">
    <w:name w:val="Title 1"/>
    <w:basedOn w:val="Heading1"/>
    <w:autoRedefine/>
    <w:qFormat/>
    <w:rsid w:val="00C17F14"/>
    <w:pPr>
      <w:keepNext w:val="0"/>
      <w:keepLines w:val="0"/>
      <w:widowControl w:val="0"/>
      <w:suppressAutoHyphens/>
      <w:autoSpaceDE w:val="0"/>
      <w:autoSpaceDN w:val="0"/>
      <w:adjustRightInd w:val="0"/>
      <w:spacing w:before="0" w:after="0"/>
      <w:jc w:val="center"/>
      <w:textAlignment w:val="center"/>
      <w:textboxTightWrap w:val="none"/>
    </w:pPr>
    <w:rPr>
      <w:rFonts w:ascii="Arial" w:eastAsia="MS Mincho" w:hAnsi="Arial" w:cs="Arial"/>
      <w:b/>
      <w:color w:val="FFFFFF" w:themeColor="background1"/>
      <w:kern w:val="0"/>
      <w:sz w:val="80"/>
      <w:szCs w:val="56"/>
      <w:lang w:val="en-GB" w:eastAsia="en-AU"/>
      <w14:numSpacing w14:val="default"/>
    </w:rPr>
  </w:style>
  <w:style w:type="paragraph" w:customStyle="1" w:styleId="Title2">
    <w:name w:val="Title 2"/>
    <w:basedOn w:val="Heading2"/>
    <w:autoRedefine/>
    <w:qFormat/>
    <w:rsid w:val="00C17F14"/>
    <w:pPr>
      <w:keepNext w:val="0"/>
      <w:keepLines w:val="0"/>
      <w:spacing w:before="0" w:after="120" w:line="240" w:lineRule="auto"/>
      <w:textboxTightWrap w:val="none"/>
    </w:pPr>
    <w:rPr>
      <w:rFonts w:ascii="Arial" w:eastAsiaTheme="minorHAnsi" w:hAnsi="Arial" w:cs="Arial"/>
      <w:b/>
      <w:bCs/>
      <w:color w:val="CCE29B" w:themeColor="accent5"/>
      <w:kern w:val="0"/>
      <w:sz w:val="36"/>
      <w:szCs w:val="40"/>
      <w:lang w:eastAsia="en-US"/>
      <w14:numSpacing w14:val="default"/>
    </w:rPr>
  </w:style>
  <w:style w:type="paragraph" w:customStyle="1" w:styleId="FooterpageNumber">
    <w:name w:val="Footer page Number"/>
    <w:basedOn w:val="Footer"/>
    <w:rsid w:val="00C17F14"/>
    <w:pPr>
      <w:tabs>
        <w:tab w:val="clear" w:pos="4513"/>
        <w:tab w:val="clear" w:pos="9026"/>
      </w:tabs>
      <w:spacing w:before="0" w:after="0"/>
      <w:jc w:val="right"/>
      <w:textboxTightWrap w:val="none"/>
    </w:pPr>
    <w:rPr>
      <w:rFonts w:ascii="Arial" w:eastAsia="Times New Roman" w:hAnsi="Arial" w:cs="Times New Roman"/>
      <w:b/>
      <w:color w:val="635D63"/>
      <w:kern w:val="0"/>
      <w:szCs w:val="18"/>
      <w:lang w:eastAsia="en-AU"/>
      <w14:numSpacing w14:val="default"/>
    </w:rPr>
  </w:style>
  <w:style w:type="paragraph" w:customStyle="1" w:styleId="Default">
    <w:name w:val="Default"/>
    <w:rsid w:val="00C17F14"/>
    <w:pPr>
      <w:autoSpaceDE w:val="0"/>
      <w:autoSpaceDN w:val="0"/>
      <w:adjustRightInd w:val="0"/>
      <w:spacing w:line="240" w:lineRule="auto"/>
    </w:pPr>
    <w:rPr>
      <w:rFonts w:ascii="Brandon Text Light" w:hAnsi="Brandon Text Light" w:cs="Brandon Text Light"/>
      <w:color w:val="000000"/>
      <w:sz w:val="24"/>
      <w:szCs w:val="24"/>
    </w:rPr>
  </w:style>
  <w:style w:type="paragraph" w:customStyle="1" w:styleId="Pa21">
    <w:name w:val="Pa2+1"/>
    <w:basedOn w:val="Default"/>
    <w:next w:val="Default"/>
    <w:uiPriority w:val="99"/>
    <w:rsid w:val="00C17F14"/>
    <w:pPr>
      <w:spacing w:line="191" w:lineRule="atLeast"/>
    </w:pPr>
    <w:rPr>
      <w:rFonts w:cstheme="minorBidi"/>
      <w:color w:val="auto"/>
    </w:rPr>
  </w:style>
  <w:style w:type="paragraph" w:customStyle="1" w:styleId="Pa17">
    <w:name w:val="Pa17"/>
    <w:basedOn w:val="Default"/>
    <w:next w:val="Default"/>
    <w:uiPriority w:val="99"/>
    <w:rsid w:val="00C17F14"/>
    <w:pPr>
      <w:spacing w:line="221" w:lineRule="atLeast"/>
    </w:pPr>
    <w:rPr>
      <w:rFonts w:ascii="Brandon Text Bold" w:hAnsi="Brandon Text Bold" w:cstheme="minorBidi"/>
      <w:color w:val="auto"/>
    </w:rPr>
  </w:style>
  <w:style w:type="paragraph" w:customStyle="1" w:styleId="Pa7">
    <w:name w:val="Pa7"/>
    <w:basedOn w:val="Default"/>
    <w:next w:val="Default"/>
    <w:uiPriority w:val="99"/>
    <w:rsid w:val="00C17F14"/>
    <w:pPr>
      <w:spacing w:line="191" w:lineRule="atLeast"/>
    </w:pPr>
    <w:rPr>
      <w:rFonts w:ascii="Brandon Text Bold" w:hAnsi="Brandon Text 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48D6FCEF6B445F842C4B706E55727B"/>
        <w:category>
          <w:name w:val="General"/>
          <w:gallery w:val="placeholder"/>
        </w:category>
        <w:types>
          <w:type w:val="bbPlcHdr"/>
        </w:types>
        <w:behaviors>
          <w:behavior w:val="content"/>
        </w:behaviors>
        <w:guid w:val="{089843E9-B0CD-4F4E-BA55-566A0CB88047}"/>
      </w:docPartPr>
      <w:docPartBody>
        <w:p w:rsidR="00012148" w:rsidRDefault="00B166B8">
          <w:pPr>
            <w:pStyle w:val="8448D6FCEF6B445F842C4B706E55727B"/>
          </w:pPr>
          <w:r w:rsidRPr="001A5BE2">
            <w:rPr>
              <w:rStyle w:val="PlaceholderText"/>
            </w:rPr>
            <w:t>[Title]</w:t>
          </w:r>
        </w:p>
      </w:docPartBody>
    </w:docPart>
    <w:docPart>
      <w:docPartPr>
        <w:name w:val="E93BF3804794405CAA6ECA10DA012073"/>
        <w:category>
          <w:name w:val="General"/>
          <w:gallery w:val="placeholder"/>
        </w:category>
        <w:types>
          <w:type w:val="bbPlcHdr"/>
        </w:types>
        <w:behaviors>
          <w:behavior w:val="content"/>
        </w:behaviors>
        <w:guid w:val="{244A2477-3EFF-49FC-8E62-779231D71DAF}"/>
      </w:docPartPr>
      <w:docPartBody>
        <w:p w:rsidR="00012148" w:rsidRDefault="00B166B8">
          <w:pPr>
            <w:pStyle w:val="E93BF3804794405CAA6ECA10DA012073"/>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panose1 w:val="00000000000000000000"/>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Arial"/>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ndon Text Light">
    <w:altName w:val="Calibri"/>
    <w:panose1 w:val="00000000000000000000"/>
    <w:charset w:val="00"/>
    <w:family w:val="swiss"/>
    <w:notTrueType/>
    <w:pitch w:val="default"/>
    <w:sig w:usb0="00000003" w:usb1="00000000" w:usb2="00000000" w:usb3="00000000" w:csb0="00000001" w:csb1="00000000"/>
  </w:font>
  <w:font w:name="Brandon Text 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B8"/>
    <w:rsid w:val="00012148"/>
    <w:rsid w:val="000E7509"/>
    <w:rsid w:val="00440D59"/>
    <w:rsid w:val="00492884"/>
    <w:rsid w:val="00583F83"/>
    <w:rsid w:val="00646771"/>
    <w:rsid w:val="00653BE8"/>
    <w:rsid w:val="007B431E"/>
    <w:rsid w:val="00880E58"/>
    <w:rsid w:val="00A71DD0"/>
    <w:rsid w:val="00B166B8"/>
    <w:rsid w:val="00D759F6"/>
    <w:rsid w:val="00FD3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48D6FCEF6B445F842C4B706E55727B">
    <w:name w:val="8448D6FCEF6B445F842C4B706E55727B"/>
  </w:style>
  <w:style w:type="paragraph" w:customStyle="1" w:styleId="E93BF3804794405CAA6ECA10DA012073">
    <w:name w:val="E93BF3804794405CAA6ECA10DA012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7818CB2C-1F85-4082-ABA9-2AB6D0C6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Strategic health workforce planning framework toolkit - stakeholder analysis</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health workforce planning framework toolkit - stakeholder analysis</dc:title>
  <dc:subject>Toolkit stakeholder analysis to assist with strategic health workforce planning </dc:subject>
  <dc:creator>Workforce Strategy Branch, Queensland Health</dc:creator>
  <cp:keywords/>
  <dc:description/>
  <cp:lastModifiedBy>Karina Millwater</cp:lastModifiedBy>
  <cp:revision>3</cp:revision>
  <cp:lastPrinted>2019-11-22T05:45:00Z</cp:lastPrinted>
  <dcterms:created xsi:type="dcterms:W3CDTF">2020-06-30T05:03:00Z</dcterms:created>
  <dcterms:modified xsi:type="dcterms:W3CDTF">2020-06-30T06:27:00Z</dcterms:modified>
</cp:coreProperties>
</file>