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ED18" w14:textId="77777777" w:rsidR="00C17F14" w:rsidRPr="00257DCE" w:rsidRDefault="00C17F14" w:rsidP="00C17F14">
      <w:pPr>
        <w:pStyle w:val="Heading2"/>
      </w:pPr>
      <w:bookmarkStart w:id="0" w:name="_Toc25233915"/>
      <w:bookmarkStart w:id="1" w:name="_Toc25234090"/>
      <w:bookmarkStart w:id="2" w:name="_Toc39586636"/>
      <w:r>
        <w:t xml:space="preserve">Step 1-B: </w:t>
      </w:r>
      <w:r w:rsidRPr="00257DCE">
        <w:t xml:space="preserve">Summary of </w:t>
      </w:r>
      <w:bookmarkStart w:id="3" w:name="_GoBack"/>
      <w:r w:rsidRPr="00257DCE">
        <w:t>strategic priorities</w:t>
      </w:r>
      <w:bookmarkEnd w:id="0"/>
      <w:bookmarkEnd w:id="1"/>
      <w:bookmarkEnd w:id="2"/>
      <w:bookmarkEnd w:id="3"/>
    </w:p>
    <w:p w14:paraId="2C9BA88E" w14:textId="77777777" w:rsidR="00C17F14" w:rsidRDefault="00C17F14" w:rsidP="00C17F14">
      <w:pPr>
        <w:rPr>
          <w:rFonts w:cs="Arial"/>
        </w:rPr>
      </w:pPr>
      <w:r w:rsidRPr="00B26856">
        <w:rPr>
          <w:rFonts w:cs="Arial"/>
        </w:rPr>
        <w:t>Use this template to record the</w:t>
      </w:r>
      <w:r>
        <w:rPr>
          <w:rFonts w:cs="Arial"/>
        </w:rPr>
        <w:t xml:space="preserve"> health service </w:t>
      </w:r>
      <w:proofErr w:type="spellStart"/>
      <w:r>
        <w:rPr>
          <w:rFonts w:cs="Arial"/>
        </w:rPr>
        <w:t>organisation’s</w:t>
      </w:r>
      <w:proofErr w:type="spellEnd"/>
      <w:r>
        <w:rPr>
          <w:rFonts w:cs="Arial"/>
        </w:rPr>
        <w:t xml:space="preserve"> key strategic priorities over the agreed strategic planning period (e.g. </w:t>
      </w:r>
      <w:r w:rsidR="00D96F6C">
        <w:rPr>
          <w:rFonts w:cs="Arial"/>
        </w:rPr>
        <w:t>5</w:t>
      </w:r>
      <w:r>
        <w:rPr>
          <w:rFonts w:cs="Arial"/>
        </w:rPr>
        <w:t xml:space="preserve"> years). These may be drawn from a variety of sources, which should be reflected in the template. </w:t>
      </w:r>
      <w:r w:rsidRPr="00B26856">
        <w:rPr>
          <w:rFonts w:cs="Arial"/>
        </w:rPr>
        <w:t xml:space="preserve">Refer </w:t>
      </w:r>
      <w:r>
        <w:rPr>
          <w:rFonts w:cs="Arial"/>
        </w:rPr>
        <w:t xml:space="preserve">back to this list </w:t>
      </w:r>
      <w:r w:rsidRPr="00B26856">
        <w:rPr>
          <w:rFonts w:cs="Arial"/>
        </w:rPr>
        <w:t xml:space="preserve">throughout the planning </w:t>
      </w:r>
      <w:r>
        <w:rPr>
          <w:rFonts w:cs="Arial"/>
        </w:rPr>
        <w:t>cycle</w:t>
      </w:r>
      <w:r w:rsidRPr="00B26856">
        <w:rPr>
          <w:rFonts w:cs="Arial"/>
        </w:rPr>
        <w:t xml:space="preserve"> to ensure data analysis and discussions ar</w:t>
      </w:r>
      <w:r>
        <w:rPr>
          <w:rFonts w:cs="Arial"/>
        </w:rPr>
        <w:t xml:space="preserve">e focused on these objectives, and to ensure that strategies remain updated with any changes in the </w:t>
      </w:r>
      <w:proofErr w:type="spellStart"/>
      <w:r>
        <w:rPr>
          <w:rFonts w:cs="Arial"/>
        </w:rPr>
        <w:t>organisation’s</w:t>
      </w:r>
      <w:proofErr w:type="spellEnd"/>
      <w:r>
        <w:rPr>
          <w:rFonts w:cs="Arial"/>
        </w:rPr>
        <w:t xml:space="preserve"> strategic priorities.</w:t>
      </w:r>
    </w:p>
    <w:p w14:paraId="6A9E2C92" w14:textId="77777777" w:rsidR="00C37D90" w:rsidRDefault="00C37D90" w:rsidP="00C17F14">
      <w:pPr>
        <w:rPr>
          <w:rFonts w:cs="Arial"/>
        </w:rPr>
      </w:pPr>
    </w:p>
    <w:tbl>
      <w:tblPr>
        <w:tblStyle w:val="TableGrid"/>
        <w:tblW w:w="9355" w:type="dxa"/>
        <w:tblInd w:w="-10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699"/>
        <w:gridCol w:w="4971"/>
        <w:gridCol w:w="3685"/>
      </w:tblGrid>
      <w:tr w:rsidR="00C17F14" w:rsidRPr="008D25A9" w14:paraId="6E1714B9" w14:textId="77777777" w:rsidTr="009B18B5">
        <w:trPr>
          <w:trHeight w:val="281"/>
        </w:trPr>
        <w:tc>
          <w:tcPr>
            <w:tcW w:w="699" w:type="dxa"/>
            <w:tcBorders>
              <w:top w:val="single" w:sz="8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tcMar>
              <w:top w:w="113" w:type="dxa"/>
            </w:tcMar>
            <w:vAlign w:val="center"/>
          </w:tcPr>
          <w:p w14:paraId="5120C6D6" w14:textId="77777777" w:rsidR="00C17F14" w:rsidRPr="008D25A9" w:rsidRDefault="00C17F14" w:rsidP="00C17F14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</w:p>
        </w:tc>
        <w:tc>
          <w:tcPr>
            <w:tcW w:w="4971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tcMar>
              <w:top w:w="113" w:type="dxa"/>
            </w:tcMar>
            <w:vAlign w:val="center"/>
          </w:tcPr>
          <w:p w14:paraId="7178EBDC" w14:textId="77777777" w:rsidR="00C17F14" w:rsidRPr="008D25A9" w:rsidRDefault="00C17F14" w:rsidP="00C17F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Health service organisation</w:t>
            </w:r>
          </w:p>
          <w:p w14:paraId="46FD5B3F" w14:textId="77777777" w:rsidR="00C17F14" w:rsidRPr="008D25A9" w:rsidRDefault="00C17F14" w:rsidP="00C17F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strategic priorities</w:t>
            </w:r>
          </w:p>
        </w:tc>
        <w:tc>
          <w:tcPr>
            <w:tcW w:w="3685" w:type="dxa"/>
            <w:tcBorders>
              <w:top w:val="single" w:sz="8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tcMar>
              <w:top w:w="113" w:type="dxa"/>
            </w:tcMar>
            <w:vAlign w:val="center"/>
          </w:tcPr>
          <w:p w14:paraId="00A25157" w14:textId="77777777" w:rsidR="00C17F14" w:rsidRPr="008D25A9" w:rsidRDefault="00C17F14" w:rsidP="00C17F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eastAsia="en-AU"/>
              </w:rPr>
              <w:t>Source</w:t>
            </w:r>
          </w:p>
        </w:tc>
      </w:tr>
      <w:tr w:rsidR="00C17F14" w:rsidRPr="008D25A9" w14:paraId="7BDE75BA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682FE2A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E.g.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6A5D4122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Improved services to Aboriginal and Torres Strait islander people and communities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698B82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Health service organisation strategic plan</w:t>
            </w:r>
          </w:p>
        </w:tc>
      </w:tr>
      <w:tr w:rsidR="00C17F14" w:rsidRPr="008D25A9" w14:paraId="488F7731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2057698B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E.g.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5478AE78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Increased capacity to deliver in-home services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34CA1B8B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 xml:space="preserve">Queensland Health strategic plan </w:t>
            </w:r>
            <w:r w:rsidRPr="008D25A9">
              <w:rPr>
                <w:rFonts w:asciiTheme="minorHAnsi" w:hAnsiTheme="minorHAnsi" w:cstheme="minorHAnsi"/>
                <w:i/>
                <w:color w:val="000000"/>
                <w:szCs w:val="20"/>
              </w:rPr>
              <w:t>My health, Queensland’s future: Advancing health 2026</w:t>
            </w:r>
          </w:p>
        </w:tc>
      </w:tr>
      <w:tr w:rsidR="00C17F14" w:rsidRPr="008D25A9" w14:paraId="5F223FA6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2DC6885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E.g.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1CA2885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Enhanced digital service delivery and capability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2562DA8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i/>
                <w:color w:val="000000"/>
                <w:szCs w:val="20"/>
              </w:rPr>
              <w:t>Queensland Health System Outlook to 2026</w:t>
            </w:r>
          </w:p>
        </w:tc>
      </w:tr>
      <w:tr w:rsidR="00C17F14" w:rsidRPr="008D25A9" w14:paraId="512D8C16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3FF0B74B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E.g.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10B498FB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 xml:space="preserve">Reduce rates of childhood obesity 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7B5D9BC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 xml:space="preserve">Queensland Health strategic plan </w:t>
            </w:r>
            <w:r w:rsidRPr="008D25A9">
              <w:rPr>
                <w:rFonts w:asciiTheme="minorHAnsi" w:hAnsiTheme="minorHAnsi" w:cstheme="minorHAnsi"/>
                <w:i/>
                <w:color w:val="000000"/>
                <w:szCs w:val="20"/>
              </w:rPr>
              <w:t>My health, Queensland’s future: Advancing health 2026</w:t>
            </w:r>
          </w:p>
        </w:tc>
      </w:tr>
      <w:tr w:rsidR="00C17F14" w:rsidRPr="008D25A9" w14:paraId="30568ACF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B6418C2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E.g.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2A16B27B" w14:textId="77777777" w:rsidR="00C17F14" w:rsidRPr="008D25A9" w:rsidRDefault="00D96F6C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Enhanced renal services in response to identified demand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3C9D0A8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before="40" w:after="40"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Emergent local priority</w:t>
            </w:r>
          </w:p>
        </w:tc>
      </w:tr>
      <w:tr w:rsidR="00C17F14" w:rsidRPr="008D25A9" w14:paraId="75F1D859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0317EF82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484C0C91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288AF55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78C88F80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A05C9D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2.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2B1C1797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FC1CC5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355D9195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41360B6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3.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515F2EAD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4B8E83A8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309CF23E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1A6DAE4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4.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59284DE5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A4127B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466F4F07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100603E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5.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51CF6990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1D119434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0FCB7CE1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737ABF7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6.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6DCCF633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B0DE9B4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2DF1ACF3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shd w:val="pct10" w:color="auto" w:fill="auto"/>
            <w:vAlign w:val="center"/>
          </w:tcPr>
          <w:p w14:paraId="0C82792A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7.</w:t>
            </w:r>
          </w:p>
        </w:tc>
        <w:tc>
          <w:tcPr>
            <w:tcW w:w="4971" w:type="dxa"/>
            <w:shd w:val="pct10" w:color="auto" w:fill="auto"/>
            <w:vAlign w:val="center"/>
          </w:tcPr>
          <w:p w14:paraId="046F074B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32778337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C17F14" w:rsidRPr="008D25A9" w14:paraId="2D857DEB" w14:textId="77777777" w:rsidTr="009B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51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B84A332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D25A9">
              <w:rPr>
                <w:rFonts w:asciiTheme="minorHAnsi" w:hAnsiTheme="minorHAnsi" w:cstheme="minorHAnsi"/>
                <w:color w:val="000000"/>
                <w:szCs w:val="20"/>
              </w:rPr>
              <w:t>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14:paraId="1A75827E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91BE0A2" w14:textId="77777777" w:rsidR="00C17F14" w:rsidRPr="008D25A9" w:rsidRDefault="00C17F14" w:rsidP="00C17F14">
            <w:pPr>
              <w:autoSpaceDE w:val="0"/>
              <w:autoSpaceDN w:val="0"/>
              <w:adjustRightInd w:val="0"/>
              <w:spacing w:line="221" w:lineRule="atLeas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53C7CC1" w14:textId="77777777" w:rsidR="00FA243B" w:rsidRDefault="00FA243B" w:rsidP="00C17F14">
      <w:pPr>
        <w:rPr>
          <w:rFonts w:cs="Arial"/>
        </w:rPr>
      </w:pPr>
    </w:p>
    <w:p w14:paraId="2C8AF6E5" w14:textId="77777777" w:rsidR="007C0A8C" w:rsidRDefault="007C0A8C">
      <w:pPr>
        <w:rPr>
          <w:rFonts w:cs="Arial"/>
        </w:rPr>
        <w:sectPr w:rsidR="007C0A8C" w:rsidSect="009B18B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418" w:header="709" w:footer="709" w:gutter="0"/>
          <w:cols w:space="708"/>
          <w:docGrid w:linePitch="360"/>
        </w:sectPr>
      </w:pPr>
    </w:p>
    <w:p w14:paraId="6A2E6F8D" w14:textId="77777777" w:rsidR="00FA243B" w:rsidRDefault="00FA243B">
      <w:pPr>
        <w:rPr>
          <w:rFonts w:cs="Arial"/>
        </w:rPr>
      </w:pPr>
    </w:p>
    <w:p w14:paraId="127A758D" w14:textId="77777777" w:rsidR="00C17F14" w:rsidRDefault="00C17F14" w:rsidP="00C17F14">
      <w:pPr>
        <w:rPr>
          <w:rFonts w:cs="Arial"/>
        </w:rPr>
      </w:pPr>
    </w:p>
    <w:p w14:paraId="7EFC6953" w14:textId="54799850" w:rsidR="00757ADC" w:rsidRPr="007D6A2F" w:rsidRDefault="00757ADC" w:rsidP="007C0A8C">
      <w:pPr>
        <w:pStyle w:val="Heading2"/>
        <w:rPr>
          <w:sz w:val="14"/>
        </w:rPr>
      </w:pPr>
    </w:p>
    <w:sectPr w:rsidR="00757ADC" w:rsidRPr="007D6A2F" w:rsidSect="007C0A8C">
      <w:type w:val="continuous"/>
      <w:pgSz w:w="11906" w:h="16838" w:code="9"/>
      <w:pgMar w:top="1531" w:right="1133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2367" w14:textId="77777777" w:rsidR="00387839" w:rsidRDefault="00387839" w:rsidP="005655C9">
      <w:pPr>
        <w:spacing w:line="240" w:lineRule="auto"/>
      </w:pPr>
      <w:r>
        <w:separator/>
      </w:r>
    </w:p>
    <w:p w14:paraId="3DD314F0" w14:textId="77777777" w:rsidR="00387839" w:rsidRDefault="00387839"/>
    <w:p w14:paraId="65D711F4" w14:textId="77777777" w:rsidR="00387839" w:rsidRDefault="00387839" w:rsidP="00952B5B"/>
    <w:p w14:paraId="06D8A485" w14:textId="77777777" w:rsidR="00387839" w:rsidRDefault="00387839" w:rsidP="00952B5B"/>
    <w:p w14:paraId="402C44DA" w14:textId="77777777" w:rsidR="00387839" w:rsidRDefault="00387839"/>
    <w:p w14:paraId="7D5A446C" w14:textId="77777777" w:rsidR="00387839" w:rsidRDefault="00387839"/>
    <w:p w14:paraId="0AFFCC4A" w14:textId="77777777" w:rsidR="00387839" w:rsidRDefault="00387839"/>
    <w:p w14:paraId="124CD979" w14:textId="77777777" w:rsidR="00387839" w:rsidRDefault="00387839"/>
  </w:endnote>
  <w:endnote w:type="continuationSeparator" w:id="0">
    <w:p w14:paraId="0D9C31EB" w14:textId="77777777" w:rsidR="00387839" w:rsidRDefault="00387839" w:rsidP="005655C9">
      <w:pPr>
        <w:spacing w:line="240" w:lineRule="auto"/>
      </w:pPr>
      <w:r>
        <w:continuationSeparator/>
      </w:r>
    </w:p>
    <w:p w14:paraId="3C33B886" w14:textId="77777777" w:rsidR="00387839" w:rsidRDefault="00387839"/>
    <w:p w14:paraId="273AB057" w14:textId="77777777" w:rsidR="00387839" w:rsidRDefault="00387839" w:rsidP="00952B5B"/>
    <w:p w14:paraId="118BD446" w14:textId="77777777" w:rsidR="00387839" w:rsidRDefault="00387839" w:rsidP="00952B5B"/>
    <w:p w14:paraId="3C5B2CAA" w14:textId="77777777" w:rsidR="00387839" w:rsidRDefault="00387839"/>
    <w:p w14:paraId="10CD482F" w14:textId="77777777" w:rsidR="00387839" w:rsidRDefault="00387839"/>
    <w:p w14:paraId="2E56DF0F" w14:textId="77777777" w:rsidR="00387839" w:rsidRDefault="00387839"/>
    <w:p w14:paraId="55B80DD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EC70" w14:textId="1BE5FB84" w:rsidR="00C83692" w:rsidRDefault="0066173F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Strategic health workforce planning framework toolkit - strategic priorities 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strategic priorities to assist with strategic health workforce planning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C0A8C"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4786" w14:textId="1F8EE050" w:rsidR="00C83692" w:rsidRDefault="0066173F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Strategic health workforce planning framework toolkit - strategic priorities 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strategic priorities to assist with strategic health workforce planning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1AE2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7120F6A" w14:textId="77777777" w:rsidR="00387839" w:rsidRDefault="00387839"/>
    <w:p w14:paraId="3AE64201" w14:textId="77777777" w:rsidR="00387839" w:rsidRDefault="00387839"/>
    <w:p w14:paraId="2E7EFACE" w14:textId="77777777" w:rsidR="00387839" w:rsidRDefault="00387839"/>
  </w:footnote>
  <w:footnote w:type="continuationSeparator" w:id="0">
    <w:p w14:paraId="393EB2D4" w14:textId="77777777" w:rsidR="00387839" w:rsidRDefault="00387839" w:rsidP="005655C9">
      <w:pPr>
        <w:spacing w:line="240" w:lineRule="auto"/>
      </w:pPr>
      <w:r>
        <w:continuationSeparator/>
      </w:r>
    </w:p>
    <w:p w14:paraId="355F403D" w14:textId="77777777" w:rsidR="00387839" w:rsidRDefault="00387839"/>
    <w:p w14:paraId="22303A1B" w14:textId="77777777" w:rsidR="00387839" w:rsidRDefault="00387839" w:rsidP="00952B5B"/>
    <w:p w14:paraId="2F31DE66" w14:textId="77777777" w:rsidR="00387839" w:rsidRDefault="00387839" w:rsidP="00952B5B"/>
    <w:p w14:paraId="272DB890" w14:textId="77777777" w:rsidR="00387839" w:rsidRDefault="00387839"/>
    <w:p w14:paraId="200E270F" w14:textId="77777777" w:rsidR="00387839" w:rsidRDefault="00387839"/>
    <w:p w14:paraId="59FD2D82" w14:textId="77777777" w:rsidR="00387839" w:rsidRDefault="00387839"/>
    <w:p w14:paraId="60C7C3DE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9013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89DA7C6" wp14:editId="333A3BEF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5" name="Picture 5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255521EA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19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173F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A8C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58FD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18B5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32BC96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4AB28979-5421-4D3A-BC39-13B7FB3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strategic priorities 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strategic priorities </dc:title>
  <dc:subject>Toolkit strategic priorities to assist with strategic health workforce planning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2020-06-30T05:04:00Z</dcterms:created>
  <dcterms:modified xsi:type="dcterms:W3CDTF">2020-06-30T06:36:00Z</dcterms:modified>
</cp:coreProperties>
</file>