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798C" w14:textId="22FC268F" w:rsidR="00C17F14" w:rsidRPr="0099563A" w:rsidRDefault="00785EEC" w:rsidP="00C3613F">
      <w:pPr>
        <w:pStyle w:val="Heading2"/>
        <w:spacing w:before="0"/>
      </w:pPr>
      <w:bookmarkStart w:id="0" w:name="_Toc25233921"/>
      <w:bookmarkStart w:id="1" w:name="_Toc25234096"/>
      <w:bookmarkStart w:id="2" w:name="_Toc39586642"/>
      <w:r>
        <w:t xml:space="preserve">Step 2-C: </w:t>
      </w:r>
      <w:bookmarkStart w:id="3" w:name="_GoBack"/>
      <w:r>
        <w:t>Role segmenting tool</w:t>
      </w:r>
      <w:bookmarkEnd w:id="0"/>
      <w:bookmarkEnd w:id="1"/>
      <w:bookmarkEnd w:id="2"/>
    </w:p>
    <w:bookmarkEnd w:id="3"/>
    <w:p w14:paraId="7C293F77" w14:textId="77777777" w:rsidR="00C3613F" w:rsidRDefault="00C3613F" w:rsidP="00C3613F">
      <w:pPr>
        <w:autoSpaceDE w:val="0"/>
        <w:autoSpaceDN w:val="0"/>
        <w:adjustRightInd w:val="0"/>
        <w:spacing w:line="221" w:lineRule="atLeast"/>
        <w:ind w:left="142"/>
        <w:rPr>
          <w:rFonts w:cs="Arial"/>
        </w:rPr>
        <w:sectPr w:rsidR="00C3613F" w:rsidSect="00893E30">
          <w:headerReference w:type="default" r:id="rId10"/>
          <w:footerReference w:type="default" r:id="rId11"/>
          <w:footerReference w:type="first" r:id="rId12"/>
          <w:type w:val="continuous"/>
          <w:pgSz w:w="11906" w:h="16838" w:code="9"/>
          <w:pgMar w:top="1531" w:right="1133" w:bottom="1531" w:left="1531" w:header="709" w:footer="709" w:gutter="0"/>
          <w:cols w:space="708"/>
          <w:docGrid w:linePitch="360"/>
        </w:sectPr>
      </w:pPr>
    </w:p>
    <w:p w14:paraId="56D5103B" w14:textId="77777777" w:rsidR="00C17F14" w:rsidRDefault="00C17F14" w:rsidP="00C17F14">
      <w:pPr>
        <w:rPr>
          <w:lang w:val="en-GB" w:eastAsia="en-AU"/>
        </w:rPr>
      </w:pPr>
      <w:r>
        <w:rPr>
          <w:lang w:val="en-GB" w:eastAsia="en-AU"/>
        </w:rPr>
        <w:t>Strategic workforce planning should include an analysis of the key roles in the organisation. While all jobs are important, roles vary in their impact on the organisation’s capacity to meet its strategic objectives. An awareness and analysis of the key roles will help to prioritise workforce planning strategies. According to the following, strategic roles and, to lesser extent, core roles should be considered as key roles that are highlighted for monitoring through the planning process.</w:t>
      </w:r>
    </w:p>
    <w:p w14:paraId="46DC8EFC" w14:textId="77777777" w:rsidR="00D96F6C" w:rsidRDefault="00D96F6C" w:rsidP="00C17F14">
      <w:pPr>
        <w:rPr>
          <w:lang w:val="en-GB" w:eastAsia="en-AU"/>
        </w:rPr>
      </w:pPr>
    </w:p>
    <w:tbl>
      <w:tblPr>
        <w:tblStyle w:val="TableGrid"/>
        <w:tblW w:w="9629" w:type="dxa"/>
        <w:tblBorders>
          <w:top w:val="single" w:sz="8" w:space="0" w:color="0F59A0"/>
          <w:left w:val="single" w:sz="8" w:space="0" w:color="0F59A0"/>
          <w:bottom w:val="single" w:sz="8" w:space="0" w:color="0F59A0"/>
          <w:right w:val="single" w:sz="8" w:space="0" w:color="0F59A0"/>
          <w:insideH w:val="none" w:sz="0" w:space="0" w:color="auto"/>
          <w:insideV w:val="none" w:sz="0" w:space="0" w:color="auto"/>
        </w:tblBorders>
        <w:tblCellMar>
          <w:top w:w="113" w:type="dxa"/>
          <w:bottom w:w="113" w:type="dxa"/>
        </w:tblCellMar>
        <w:tblLook w:val="04A0" w:firstRow="1" w:lastRow="0" w:firstColumn="1" w:lastColumn="0" w:noHBand="0" w:noVBand="1"/>
      </w:tblPr>
      <w:tblGrid>
        <w:gridCol w:w="1691"/>
        <w:gridCol w:w="7938"/>
      </w:tblGrid>
      <w:tr w:rsidR="00C17F14" w:rsidRPr="002C5BD9" w14:paraId="2DB9C713" w14:textId="77777777" w:rsidTr="00C17F14">
        <w:tc>
          <w:tcPr>
            <w:tcW w:w="1691" w:type="dxa"/>
            <w:tcBorders>
              <w:top w:val="single" w:sz="8"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0F59A0"/>
            <w:tcMar>
              <w:top w:w="57" w:type="dxa"/>
              <w:bottom w:w="57" w:type="dxa"/>
            </w:tcMar>
            <w:vAlign w:val="center"/>
          </w:tcPr>
          <w:p w14:paraId="16663470" w14:textId="77777777" w:rsidR="00C17F14" w:rsidRPr="002C5BD9" w:rsidRDefault="00C17F14" w:rsidP="00C17F14">
            <w:pPr>
              <w:spacing w:beforeLines="40" w:before="96" w:afterLines="40" w:after="96" w:line="240" w:lineRule="auto"/>
              <w:jc w:val="center"/>
              <w:rPr>
                <w:rFonts w:asciiTheme="minorHAnsi" w:hAnsiTheme="minorHAnsi" w:cstheme="minorHAnsi"/>
                <w:b/>
                <w:color w:val="FFFFFF" w:themeColor="background1"/>
                <w:sz w:val="28"/>
                <w:szCs w:val="28"/>
                <w:lang w:eastAsia="en-AU"/>
              </w:rPr>
            </w:pPr>
            <w:r w:rsidRPr="002C5BD9">
              <w:rPr>
                <w:rFonts w:asciiTheme="minorHAnsi" w:hAnsiTheme="minorHAnsi" w:cstheme="minorHAnsi"/>
                <w:b/>
                <w:color w:val="FFFFFF" w:themeColor="background1"/>
                <w:sz w:val="28"/>
                <w:szCs w:val="28"/>
                <w:lang w:eastAsia="en-AU"/>
              </w:rPr>
              <w:t>Role type</w:t>
            </w:r>
          </w:p>
        </w:tc>
        <w:tc>
          <w:tcPr>
            <w:tcW w:w="7938" w:type="dxa"/>
            <w:tcBorders>
              <w:top w:val="single" w:sz="8"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0F59A0"/>
            <w:tcMar>
              <w:top w:w="57" w:type="dxa"/>
              <w:bottom w:w="57" w:type="dxa"/>
            </w:tcMar>
            <w:vAlign w:val="center"/>
          </w:tcPr>
          <w:p w14:paraId="69F66CD3" w14:textId="77777777" w:rsidR="00C17F14" w:rsidRPr="002C5BD9" w:rsidRDefault="00C17F14" w:rsidP="00C17F14">
            <w:pPr>
              <w:spacing w:beforeLines="40" w:before="96" w:afterLines="40" w:after="96" w:line="240" w:lineRule="auto"/>
              <w:jc w:val="center"/>
              <w:rPr>
                <w:rFonts w:asciiTheme="minorHAnsi" w:hAnsiTheme="minorHAnsi" w:cstheme="minorHAnsi"/>
                <w:b/>
                <w:color w:val="FFFFFF" w:themeColor="background1"/>
                <w:sz w:val="28"/>
                <w:szCs w:val="28"/>
                <w:lang w:eastAsia="en-AU"/>
              </w:rPr>
            </w:pPr>
            <w:r w:rsidRPr="002C5BD9">
              <w:rPr>
                <w:rFonts w:asciiTheme="minorHAnsi" w:hAnsiTheme="minorHAnsi" w:cstheme="minorHAnsi"/>
                <w:b/>
                <w:color w:val="FFFFFF" w:themeColor="background1"/>
                <w:sz w:val="28"/>
                <w:szCs w:val="28"/>
                <w:lang w:eastAsia="en-AU"/>
              </w:rPr>
              <w:t>Determining role types</w:t>
            </w:r>
          </w:p>
        </w:tc>
      </w:tr>
      <w:tr w:rsidR="00C17F14" w:rsidRPr="002C5BD9" w14:paraId="61896673" w14:textId="77777777" w:rsidTr="00C17F14">
        <w:tc>
          <w:tcPr>
            <w:tcW w:w="1691"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tcMar>
              <w:top w:w="57" w:type="dxa"/>
              <w:bottom w:w="57" w:type="dxa"/>
            </w:tcMar>
            <w:vAlign w:val="center"/>
          </w:tcPr>
          <w:p w14:paraId="4B16F75F" w14:textId="77777777" w:rsidR="00C17F14" w:rsidRPr="002C5BD9" w:rsidRDefault="00C17F14" w:rsidP="00C17F14">
            <w:pPr>
              <w:spacing w:beforeLines="40" w:before="96" w:afterLines="40" w:after="96" w:line="240" w:lineRule="auto"/>
              <w:jc w:val="center"/>
              <w:rPr>
                <w:rFonts w:asciiTheme="minorHAnsi" w:hAnsiTheme="minorHAnsi" w:cstheme="minorHAnsi"/>
                <w:b/>
                <w:color w:val="FF0000"/>
              </w:rPr>
            </w:pPr>
            <w:r w:rsidRPr="002C5BD9">
              <w:rPr>
                <w:rFonts w:asciiTheme="minorHAnsi" w:hAnsiTheme="minorHAnsi" w:cstheme="minorHAnsi"/>
                <w:b/>
                <w:color w:val="FF0000"/>
              </w:rPr>
              <w:t>Strategic</w:t>
            </w:r>
          </w:p>
        </w:tc>
        <w:tc>
          <w:tcPr>
            <w:tcW w:w="7938"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Mar>
              <w:top w:w="57" w:type="dxa"/>
              <w:bottom w:w="57" w:type="dxa"/>
            </w:tcMar>
          </w:tcPr>
          <w:p w14:paraId="4B1CDEB0"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Does this role play a vital role to driving and achieving strategy goals?</w:t>
            </w:r>
          </w:p>
          <w:p w14:paraId="2D97E459"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If this role were to go unfilled, would the future success be compromised or put at high-risk?</w:t>
            </w:r>
          </w:p>
          <w:p w14:paraId="371FFF14"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Does this position change with time and strategy?</w:t>
            </w:r>
          </w:p>
        </w:tc>
      </w:tr>
      <w:tr w:rsidR="00C17F14" w:rsidRPr="002C5BD9" w14:paraId="1AB02631" w14:textId="77777777" w:rsidTr="00C17F14">
        <w:tc>
          <w:tcPr>
            <w:tcW w:w="1691"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tcMar>
              <w:top w:w="57" w:type="dxa"/>
              <w:bottom w:w="57" w:type="dxa"/>
            </w:tcMar>
            <w:vAlign w:val="center"/>
          </w:tcPr>
          <w:p w14:paraId="6F2C2EDA" w14:textId="77777777" w:rsidR="00C17F14" w:rsidRPr="002C5BD9" w:rsidRDefault="00C17F14" w:rsidP="00C17F14">
            <w:pPr>
              <w:spacing w:beforeLines="40" w:before="96" w:afterLines="40" w:after="96" w:line="240" w:lineRule="auto"/>
              <w:jc w:val="center"/>
              <w:rPr>
                <w:rFonts w:asciiTheme="minorHAnsi" w:hAnsiTheme="minorHAnsi" w:cstheme="minorHAnsi"/>
                <w:b/>
                <w:color w:val="FF0000"/>
              </w:rPr>
            </w:pPr>
            <w:r w:rsidRPr="002C5BD9">
              <w:rPr>
                <w:rFonts w:asciiTheme="minorHAnsi" w:hAnsiTheme="minorHAnsi" w:cstheme="minorHAnsi"/>
                <w:b/>
                <w:color w:val="FF0000"/>
              </w:rPr>
              <w:t>Core</w:t>
            </w:r>
          </w:p>
        </w:tc>
        <w:tc>
          <w:tcPr>
            <w:tcW w:w="7938"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Mar>
              <w:top w:w="57" w:type="dxa"/>
              <w:bottom w:w="57" w:type="dxa"/>
            </w:tcMar>
          </w:tcPr>
          <w:p w14:paraId="0D0E62AD"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Does this role relate to operational excellence?</w:t>
            </w:r>
          </w:p>
          <w:p w14:paraId="7BEC3586"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Is there considerable risk to goal/strategy achievement if these roles are not filled?</w:t>
            </w:r>
          </w:p>
          <w:p w14:paraId="2FCE5C1A"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Is this role called a “never out job” (e.g., always want these jobs filled)</w:t>
            </w:r>
          </w:p>
        </w:tc>
      </w:tr>
      <w:tr w:rsidR="00C17F14" w:rsidRPr="002C5BD9" w14:paraId="6E7BAF12" w14:textId="77777777" w:rsidTr="00C17F14">
        <w:tc>
          <w:tcPr>
            <w:tcW w:w="1691"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tcMar>
              <w:top w:w="57" w:type="dxa"/>
              <w:bottom w:w="57" w:type="dxa"/>
            </w:tcMar>
            <w:vAlign w:val="center"/>
          </w:tcPr>
          <w:p w14:paraId="72B5E9FC" w14:textId="77777777" w:rsidR="00C17F14" w:rsidRPr="002C5BD9" w:rsidRDefault="00C17F14" w:rsidP="00C17F14">
            <w:pPr>
              <w:spacing w:beforeLines="40" w:before="96" w:afterLines="40" w:after="96" w:line="240" w:lineRule="auto"/>
              <w:jc w:val="center"/>
              <w:rPr>
                <w:rFonts w:asciiTheme="minorHAnsi" w:hAnsiTheme="minorHAnsi" w:cstheme="minorHAnsi"/>
                <w:b/>
              </w:rPr>
            </w:pPr>
            <w:r w:rsidRPr="002C5BD9">
              <w:rPr>
                <w:rFonts w:asciiTheme="minorHAnsi" w:hAnsiTheme="minorHAnsi" w:cstheme="minorHAnsi"/>
                <w:b/>
                <w:noProof/>
              </w:rPr>
              <mc:AlternateContent>
                <mc:Choice Requires="wps">
                  <w:drawing>
                    <wp:anchor distT="45720" distB="45720" distL="114300" distR="114300" simplePos="0" relativeHeight="251713536" behindDoc="0" locked="0" layoutInCell="1" allowOverlap="1" wp14:anchorId="0C59E2DC" wp14:editId="6F60C026">
                      <wp:simplePos x="0" y="0"/>
                      <wp:positionH relativeFrom="column">
                        <wp:posOffset>19050</wp:posOffset>
                      </wp:positionH>
                      <wp:positionV relativeFrom="paragraph">
                        <wp:posOffset>-2254250</wp:posOffset>
                      </wp:positionV>
                      <wp:extent cx="922655" cy="1811020"/>
                      <wp:effectExtent l="19050" t="19050" r="1079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811020"/>
                              </a:xfrm>
                              <a:prstGeom prst="rect">
                                <a:avLst/>
                              </a:prstGeom>
                              <a:noFill/>
                              <a:ln w="28575">
                                <a:solidFill>
                                  <a:srgbClr val="FF0000"/>
                                </a:solidFill>
                                <a:miter lim="800000"/>
                                <a:headEnd/>
                                <a:tailEnd/>
                              </a:ln>
                            </wps:spPr>
                            <wps:txbx>
                              <w:txbxContent>
                                <w:p w14:paraId="784673E0" w14:textId="77777777" w:rsidR="00C83692" w:rsidRDefault="00C83692" w:rsidP="00C17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9E2DC" id="_x0000_t202" coordsize="21600,21600" o:spt="202" path="m,l,21600r21600,l21600,xe">
                      <v:stroke joinstyle="miter"/>
                      <v:path gradientshapeok="t" o:connecttype="rect"/>
                    </v:shapetype>
                    <v:shape id="Text Box 2" o:spid="_x0000_s1026" type="#_x0000_t202" style="position:absolute;left:0;text-align:left;margin-left:1.5pt;margin-top:-177.5pt;width:72.65pt;height:142.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" filled="f" strokecolor="red" strokeweight="2.25pt">
                      <v:textbox>
                        <w:txbxContent>
                          <w:p w14:paraId="784673E0" w14:textId="77777777" w:rsidR="00C83692" w:rsidRDefault="00C83692" w:rsidP="00C17F14"/>
                        </w:txbxContent>
                      </v:textbox>
                    </v:shape>
                  </w:pict>
                </mc:Fallback>
              </mc:AlternateContent>
            </w:r>
            <w:r w:rsidRPr="002C5BD9">
              <w:rPr>
                <w:rFonts w:asciiTheme="minorHAnsi" w:hAnsiTheme="minorHAnsi" w:cstheme="minorHAnsi"/>
                <w:b/>
              </w:rPr>
              <w:t>Supporting</w:t>
            </w:r>
          </w:p>
        </w:tc>
        <w:tc>
          <w:tcPr>
            <w:tcW w:w="7938"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Mar>
              <w:top w:w="57" w:type="dxa"/>
              <w:bottom w:w="57" w:type="dxa"/>
            </w:tcMar>
          </w:tcPr>
          <w:p w14:paraId="47DE4DA0"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Does this role keep the internal operation working smoothly, such as IT, finance, or HR?</w:t>
            </w:r>
          </w:p>
          <w:p w14:paraId="3654CE50"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Does this role support the business processes that enable the strategic and core roles to deliver the mission?</w:t>
            </w:r>
          </w:p>
        </w:tc>
      </w:tr>
      <w:tr w:rsidR="00C17F14" w:rsidRPr="002C5BD9" w14:paraId="7CBC37E0" w14:textId="77777777" w:rsidTr="00C17F14">
        <w:tc>
          <w:tcPr>
            <w:tcW w:w="1691"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tcMar>
              <w:top w:w="57" w:type="dxa"/>
              <w:bottom w:w="57" w:type="dxa"/>
            </w:tcMar>
            <w:vAlign w:val="center"/>
          </w:tcPr>
          <w:p w14:paraId="19F847D8" w14:textId="77777777" w:rsidR="00C17F14" w:rsidRPr="002C5BD9" w:rsidRDefault="00C17F14" w:rsidP="00C17F14">
            <w:pPr>
              <w:spacing w:beforeLines="40" w:before="96" w:afterLines="40" w:after="96" w:line="240" w:lineRule="auto"/>
              <w:jc w:val="center"/>
              <w:rPr>
                <w:rFonts w:asciiTheme="minorHAnsi" w:hAnsiTheme="minorHAnsi" w:cstheme="minorHAnsi"/>
                <w:b/>
              </w:rPr>
            </w:pPr>
            <w:r w:rsidRPr="002C5BD9">
              <w:rPr>
                <w:rFonts w:asciiTheme="minorHAnsi" w:hAnsiTheme="minorHAnsi" w:cstheme="minorHAnsi"/>
                <w:b/>
              </w:rPr>
              <w:t>Misaligned</w:t>
            </w:r>
          </w:p>
        </w:tc>
        <w:tc>
          <w:tcPr>
            <w:tcW w:w="7938"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Mar>
              <w:top w:w="57" w:type="dxa"/>
              <w:bottom w:w="57" w:type="dxa"/>
            </w:tcMar>
          </w:tcPr>
          <w:p w14:paraId="64E8D826"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Can this role be redeployed?</w:t>
            </w:r>
          </w:p>
          <w:p w14:paraId="53B909DD" w14:textId="77777777" w:rsidR="00C17F14" w:rsidRPr="002C5BD9" w:rsidRDefault="00C17F14" w:rsidP="003461A3">
            <w:pPr>
              <w:pStyle w:val="ListParagraph"/>
              <w:numPr>
                <w:ilvl w:val="0"/>
                <w:numId w:val="13"/>
              </w:numPr>
              <w:tabs>
                <w:tab w:val="left" w:pos="2835"/>
              </w:tabs>
              <w:spacing w:beforeLines="40" w:before="96" w:afterLines="40" w:after="96" w:line="240" w:lineRule="auto"/>
              <w:ind w:left="315" w:hanging="284"/>
              <w:contextualSpacing w:val="0"/>
              <w:textboxTightWrap w:val="none"/>
              <w:rPr>
                <w:rFonts w:asciiTheme="minorHAnsi" w:hAnsiTheme="minorHAnsi" w:cstheme="minorHAnsi"/>
                <w:szCs w:val="22"/>
              </w:rPr>
            </w:pPr>
            <w:r w:rsidRPr="002C5BD9">
              <w:rPr>
                <w:rFonts w:asciiTheme="minorHAnsi" w:hAnsiTheme="minorHAnsi" w:cstheme="minorHAnsi"/>
                <w:szCs w:val="22"/>
              </w:rPr>
              <w:t>Is there no risk to the organisation if the role were to go unfilled?</w:t>
            </w:r>
          </w:p>
        </w:tc>
      </w:tr>
    </w:tbl>
    <w:p w14:paraId="5BB88F59" w14:textId="77777777" w:rsidR="00C17F14" w:rsidRDefault="00C17F14" w:rsidP="00C17F14">
      <w:pPr>
        <w:spacing w:line="240" w:lineRule="auto"/>
        <w:rPr>
          <w:b/>
          <w:i/>
          <w:sz w:val="14"/>
        </w:rPr>
      </w:pPr>
    </w:p>
    <w:p w14:paraId="526036A7" w14:textId="77777777" w:rsidR="00C17F14" w:rsidRDefault="00C17F14" w:rsidP="00C17F14">
      <w:pPr>
        <w:spacing w:line="240" w:lineRule="auto"/>
        <w:rPr>
          <w:sz w:val="14"/>
        </w:rPr>
      </w:pPr>
      <w:r w:rsidRPr="0041108B">
        <w:rPr>
          <w:b/>
          <w:i/>
          <w:sz w:val="14"/>
        </w:rPr>
        <w:t>Source:</w:t>
      </w:r>
      <w:r w:rsidRPr="0041108B">
        <w:rPr>
          <w:sz w:val="14"/>
        </w:rPr>
        <w:t xml:space="preserve"> </w:t>
      </w:r>
      <w:r>
        <w:rPr>
          <w:sz w:val="14"/>
        </w:rPr>
        <w:t xml:space="preserve">Adapted from National Institutes of Health, Workforce Planning Toolkit: Identifying Key and Mission-Essential Positions, 2015 </w:t>
      </w:r>
      <w:r w:rsidRPr="003934A4">
        <w:rPr>
          <w:sz w:val="14"/>
        </w:rPr>
        <w:t>https://hr.nih.gov/sites/default/files/public/documents/working-nih/workforce-planning/pdf/04-keyandmissionessentialpositionsoverview.pdf</w:t>
      </w:r>
    </w:p>
    <w:p w14:paraId="501D7F08" w14:textId="77777777" w:rsidR="00C17F14" w:rsidRDefault="00C17F14" w:rsidP="00C17F14">
      <w:pPr>
        <w:rPr>
          <w:lang w:val="en-GB" w:eastAsia="en-AU"/>
        </w:rPr>
      </w:pPr>
    </w:p>
    <w:tbl>
      <w:tblPr>
        <w:tblStyle w:val="TableGrid"/>
        <w:tblW w:w="9629" w:type="dxa"/>
        <w:tblBorders>
          <w:top w:val="single" w:sz="8" w:space="0" w:color="0F59A0"/>
          <w:left w:val="single" w:sz="8" w:space="0" w:color="0F59A0"/>
          <w:bottom w:val="single" w:sz="8" w:space="0" w:color="0F59A0"/>
          <w:right w:val="single" w:sz="8" w:space="0" w:color="0F59A0"/>
          <w:insideH w:val="none" w:sz="0" w:space="0" w:color="auto"/>
          <w:insideV w:val="none" w:sz="0" w:space="0" w:color="auto"/>
        </w:tblBorders>
        <w:tblCellMar>
          <w:top w:w="227" w:type="dxa"/>
        </w:tblCellMar>
        <w:tblLook w:val="04A0" w:firstRow="1" w:lastRow="0" w:firstColumn="1" w:lastColumn="0" w:noHBand="0" w:noVBand="1"/>
      </w:tblPr>
      <w:tblGrid>
        <w:gridCol w:w="3164"/>
        <w:gridCol w:w="6465"/>
      </w:tblGrid>
      <w:tr w:rsidR="00C17F14" w:rsidRPr="002C5BD9" w14:paraId="65D2758E" w14:textId="77777777" w:rsidTr="00C17F14">
        <w:trPr>
          <w:tblHeader/>
        </w:trPr>
        <w:tc>
          <w:tcPr>
            <w:tcW w:w="2258" w:type="dxa"/>
            <w:tcBorders>
              <w:top w:val="single" w:sz="8"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0F59A0"/>
            <w:tcMar>
              <w:top w:w="113" w:type="dxa"/>
              <w:bottom w:w="113" w:type="dxa"/>
            </w:tcMar>
            <w:vAlign w:val="center"/>
          </w:tcPr>
          <w:p w14:paraId="169F31FF" w14:textId="77777777" w:rsidR="00C17F14" w:rsidRPr="002C5BD9" w:rsidRDefault="00C17F14" w:rsidP="00C17F14">
            <w:pPr>
              <w:spacing w:before="60" w:after="60" w:line="240" w:lineRule="auto"/>
              <w:jc w:val="center"/>
              <w:rPr>
                <w:rFonts w:asciiTheme="minorHAnsi" w:hAnsiTheme="minorHAnsi" w:cstheme="minorHAnsi"/>
                <w:b/>
                <w:color w:val="FFFFFF" w:themeColor="background1"/>
                <w:sz w:val="28"/>
                <w:szCs w:val="28"/>
                <w:lang w:eastAsia="en-AU"/>
              </w:rPr>
            </w:pPr>
            <w:r w:rsidRPr="002C5BD9">
              <w:rPr>
                <w:rFonts w:asciiTheme="minorHAnsi" w:hAnsiTheme="minorHAnsi" w:cstheme="minorHAnsi"/>
                <w:b/>
                <w:color w:val="FFFFFF" w:themeColor="background1"/>
                <w:sz w:val="28"/>
                <w:szCs w:val="28"/>
                <w:lang w:eastAsia="en-AU"/>
              </w:rPr>
              <w:t>Segmentation of roles</w:t>
            </w:r>
          </w:p>
        </w:tc>
        <w:tc>
          <w:tcPr>
            <w:tcW w:w="7371" w:type="dxa"/>
            <w:tcBorders>
              <w:top w:val="single" w:sz="8"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0F59A0"/>
            <w:tcMar>
              <w:top w:w="113" w:type="dxa"/>
              <w:bottom w:w="113" w:type="dxa"/>
            </w:tcMar>
            <w:vAlign w:val="center"/>
          </w:tcPr>
          <w:p w14:paraId="744DC02D" w14:textId="77777777" w:rsidR="00C17F14" w:rsidRPr="002C5BD9" w:rsidRDefault="00C17F14" w:rsidP="00C17F14">
            <w:pPr>
              <w:spacing w:before="60" w:after="60" w:line="240" w:lineRule="auto"/>
              <w:jc w:val="center"/>
              <w:rPr>
                <w:rFonts w:asciiTheme="minorHAnsi" w:hAnsiTheme="minorHAnsi" w:cstheme="minorHAnsi"/>
                <w:b/>
                <w:color w:val="FFFFFF" w:themeColor="background1"/>
                <w:sz w:val="28"/>
                <w:szCs w:val="28"/>
                <w:lang w:eastAsia="en-AU"/>
              </w:rPr>
            </w:pPr>
            <w:r w:rsidRPr="002C5BD9">
              <w:rPr>
                <w:rFonts w:asciiTheme="minorHAnsi" w:hAnsiTheme="minorHAnsi" w:cstheme="minorHAnsi"/>
                <w:b/>
                <w:color w:val="FFFFFF" w:themeColor="background1"/>
                <w:sz w:val="28"/>
                <w:szCs w:val="28"/>
                <w:lang w:eastAsia="en-AU"/>
              </w:rPr>
              <w:t>Responses</w:t>
            </w:r>
          </w:p>
        </w:tc>
      </w:tr>
      <w:tr w:rsidR="00C17F14" w:rsidRPr="002C5BD9" w14:paraId="12DFADEA" w14:textId="77777777" w:rsidTr="00C17F14">
        <w:trPr>
          <w:trHeight w:val="3062"/>
        </w:trPr>
        <w:tc>
          <w:tcPr>
            <w:tcW w:w="3402"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tcPr>
          <w:p w14:paraId="55F4C87D" w14:textId="77777777" w:rsidR="00C17F14" w:rsidRPr="002C5BD9" w:rsidRDefault="00C17F14" w:rsidP="00C17F14">
            <w:pPr>
              <w:spacing w:after="80"/>
              <w:rPr>
                <w:rFonts w:asciiTheme="minorHAnsi" w:hAnsiTheme="minorHAnsi" w:cstheme="minorHAnsi"/>
                <w:color w:val="093959"/>
                <w:lang w:eastAsia="en-AU"/>
              </w:rPr>
            </w:pPr>
            <w:r w:rsidRPr="002C5BD9">
              <w:rPr>
                <w:rFonts w:asciiTheme="minorHAnsi" w:hAnsiTheme="minorHAnsi" w:cstheme="minorHAnsi"/>
              </w:rPr>
              <w:t>What roles in the organisation are essential to implementing the business strategy? Try to identify the three to five roles that are critical.</w:t>
            </w:r>
          </w:p>
        </w:tc>
        <w:tc>
          <w:tcPr>
            <w:tcW w:w="3402"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2ABC3F93" w14:textId="77777777" w:rsidR="00C17F14" w:rsidRPr="002C5BD9" w:rsidRDefault="00C17F14" w:rsidP="00C17F14">
            <w:pPr>
              <w:spacing w:after="80"/>
              <w:rPr>
                <w:rFonts w:asciiTheme="minorHAnsi" w:hAnsiTheme="minorHAnsi" w:cstheme="minorHAnsi"/>
                <w:sz w:val="23"/>
                <w:szCs w:val="23"/>
              </w:rPr>
            </w:pPr>
          </w:p>
        </w:tc>
      </w:tr>
      <w:tr w:rsidR="00C17F14" w:rsidRPr="002C5BD9" w14:paraId="56212463" w14:textId="77777777" w:rsidTr="007D6A2F">
        <w:trPr>
          <w:trHeight w:val="2948"/>
        </w:trPr>
        <w:tc>
          <w:tcPr>
            <w:tcW w:w="3402"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tcPr>
          <w:p w14:paraId="2A1FB6BC" w14:textId="77777777" w:rsidR="00C17F14" w:rsidRPr="002C5BD9" w:rsidRDefault="00C17F14" w:rsidP="00C17F14">
            <w:pPr>
              <w:spacing w:after="80"/>
              <w:rPr>
                <w:rFonts w:asciiTheme="minorHAnsi" w:hAnsiTheme="minorHAnsi" w:cstheme="minorHAnsi"/>
              </w:rPr>
            </w:pPr>
            <w:r w:rsidRPr="002C5BD9">
              <w:rPr>
                <w:rFonts w:asciiTheme="minorHAnsi" w:hAnsiTheme="minorHAnsi" w:cstheme="minorHAnsi"/>
              </w:rPr>
              <w:lastRenderedPageBreak/>
              <w:t>Describe how each of these key roles contributes to executing the strategy and value creation.</w:t>
            </w:r>
          </w:p>
        </w:tc>
        <w:tc>
          <w:tcPr>
            <w:tcW w:w="3402"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1DB22423" w14:textId="77777777" w:rsidR="00C17F14" w:rsidRPr="002C5BD9" w:rsidRDefault="00C17F14" w:rsidP="00C17F14">
            <w:pPr>
              <w:spacing w:after="80"/>
              <w:rPr>
                <w:rFonts w:asciiTheme="minorHAnsi" w:hAnsiTheme="minorHAnsi" w:cstheme="minorHAnsi"/>
                <w:sz w:val="23"/>
                <w:szCs w:val="23"/>
              </w:rPr>
            </w:pPr>
          </w:p>
        </w:tc>
      </w:tr>
      <w:tr w:rsidR="00C17F14" w:rsidRPr="002C5BD9" w14:paraId="692DE445" w14:textId="77777777" w:rsidTr="007D6A2F">
        <w:trPr>
          <w:trHeight w:val="2948"/>
        </w:trPr>
        <w:tc>
          <w:tcPr>
            <w:tcW w:w="3402"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tcPr>
          <w:p w14:paraId="507DC35B" w14:textId="77777777" w:rsidR="00C17F14" w:rsidRPr="002C5BD9" w:rsidRDefault="00C17F14" w:rsidP="00C17F14">
            <w:pPr>
              <w:spacing w:after="80"/>
              <w:rPr>
                <w:rFonts w:asciiTheme="minorHAnsi" w:hAnsiTheme="minorHAnsi" w:cstheme="minorHAnsi"/>
              </w:rPr>
            </w:pPr>
            <w:r w:rsidRPr="002C5BD9">
              <w:rPr>
                <w:rFonts w:asciiTheme="minorHAnsi" w:hAnsiTheme="minorHAnsi" w:cstheme="minorHAnsi"/>
              </w:rPr>
              <w:t>Prioritise these roles in terms of a continuum of impact; from strategic to core to supportive to misaligned.</w:t>
            </w:r>
          </w:p>
        </w:tc>
        <w:tc>
          <w:tcPr>
            <w:tcW w:w="3402"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03BC484A" w14:textId="77777777" w:rsidR="00C17F14" w:rsidRPr="002C5BD9" w:rsidRDefault="00C17F14" w:rsidP="00C17F14">
            <w:pPr>
              <w:spacing w:after="80"/>
              <w:rPr>
                <w:rFonts w:asciiTheme="minorHAnsi" w:hAnsiTheme="minorHAnsi" w:cstheme="minorHAnsi"/>
                <w:sz w:val="23"/>
                <w:szCs w:val="23"/>
              </w:rPr>
            </w:pPr>
          </w:p>
        </w:tc>
      </w:tr>
      <w:tr w:rsidR="00C17F14" w:rsidRPr="002C5BD9" w14:paraId="6F33F146" w14:textId="77777777" w:rsidTr="007D6A2F">
        <w:trPr>
          <w:trHeight w:val="2948"/>
        </w:trPr>
        <w:tc>
          <w:tcPr>
            <w:tcW w:w="3402"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tcPr>
          <w:p w14:paraId="209B1D69" w14:textId="77777777" w:rsidR="00C17F14" w:rsidRPr="002C5BD9" w:rsidRDefault="00C17F14" w:rsidP="00C17F14">
            <w:pPr>
              <w:spacing w:after="80"/>
              <w:rPr>
                <w:rFonts w:asciiTheme="minorHAnsi" w:hAnsiTheme="minorHAnsi" w:cstheme="minorHAnsi"/>
              </w:rPr>
            </w:pPr>
            <w:r w:rsidRPr="002C5BD9">
              <w:rPr>
                <w:rFonts w:asciiTheme="minorHAnsi" w:hAnsiTheme="minorHAnsi" w:cstheme="minorHAnsi"/>
              </w:rPr>
              <w:t>Identify which key roles are linked with identified issues, risks or challenges, and should therefore be monitored through the gap analysis process.</w:t>
            </w:r>
          </w:p>
        </w:tc>
        <w:tc>
          <w:tcPr>
            <w:tcW w:w="3402"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79C3FFA9" w14:textId="77777777" w:rsidR="00C17F14" w:rsidRPr="002C5BD9" w:rsidRDefault="00C17F14" w:rsidP="00C17F14">
            <w:pPr>
              <w:spacing w:after="80"/>
              <w:rPr>
                <w:rFonts w:asciiTheme="minorHAnsi" w:hAnsiTheme="minorHAnsi" w:cstheme="minorHAnsi"/>
                <w:sz w:val="23"/>
                <w:szCs w:val="23"/>
              </w:rPr>
            </w:pPr>
          </w:p>
        </w:tc>
      </w:tr>
      <w:tr w:rsidR="00C17F14" w:rsidRPr="002C5BD9" w14:paraId="1CCC3611" w14:textId="77777777" w:rsidTr="007D6A2F">
        <w:trPr>
          <w:trHeight w:val="2892"/>
        </w:trPr>
        <w:tc>
          <w:tcPr>
            <w:tcW w:w="3402"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tcPr>
          <w:p w14:paraId="36BC0670" w14:textId="77777777" w:rsidR="00C17F14" w:rsidRPr="002C5BD9" w:rsidRDefault="00C17F14" w:rsidP="00C17F14">
            <w:pPr>
              <w:spacing w:after="80"/>
              <w:rPr>
                <w:rFonts w:asciiTheme="minorHAnsi" w:hAnsiTheme="minorHAnsi" w:cstheme="minorHAnsi"/>
              </w:rPr>
            </w:pPr>
            <w:r w:rsidRPr="002C5BD9">
              <w:rPr>
                <w:rFonts w:asciiTheme="minorHAnsi" w:hAnsiTheme="minorHAnsi" w:cstheme="minorHAnsi"/>
              </w:rPr>
              <w:t>For each key role, consider the following factors currently and in the future: supply and demand, skills, role design, team roles, and drivers for attraction and retention.</w:t>
            </w:r>
          </w:p>
        </w:tc>
        <w:tc>
          <w:tcPr>
            <w:tcW w:w="3402"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664FC1D7" w14:textId="77777777" w:rsidR="00C17F14" w:rsidRPr="002C5BD9" w:rsidRDefault="00C17F14" w:rsidP="00C17F14">
            <w:pPr>
              <w:spacing w:after="80"/>
              <w:rPr>
                <w:rFonts w:asciiTheme="minorHAnsi" w:hAnsiTheme="minorHAnsi" w:cstheme="minorHAnsi"/>
                <w:sz w:val="23"/>
                <w:szCs w:val="23"/>
              </w:rPr>
            </w:pPr>
          </w:p>
        </w:tc>
      </w:tr>
    </w:tbl>
    <w:p w14:paraId="6142DF4C" w14:textId="77777777" w:rsidR="00C17F14" w:rsidRDefault="00C17F14" w:rsidP="00C17F14">
      <w:pPr>
        <w:spacing w:line="240" w:lineRule="auto"/>
        <w:rPr>
          <w:sz w:val="14"/>
        </w:rPr>
      </w:pPr>
    </w:p>
    <w:p w14:paraId="5D7D5E7E" w14:textId="77777777" w:rsidR="00C17F14" w:rsidRDefault="00C17F14" w:rsidP="00C17F14">
      <w:pPr>
        <w:spacing w:line="240" w:lineRule="auto"/>
        <w:rPr>
          <w:sz w:val="14"/>
        </w:rPr>
      </w:pPr>
      <w:r w:rsidRPr="0041108B">
        <w:rPr>
          <w:b/>
          <w:i/>
          <w:sz w:val="14"/>
        </w:rPr>
        <w:t>Source:</w:t>
      </w:r>
      <w:r w:rsidRPr="0041108B">
        <w:rPr>
          <w:sz w:val="14"/>
        </w:rPr>
        <w:t xml:space="preserve"> </w:t>
      </w:r>
      <w:r>
        <w:rPr>
          <w:sz w:val="14"/>
        </w:rPr>
        <w:t xml:space="preserve">Adapted from </w:t>
      </w:r>
      <w:r w:rsidRPr="0041108B">
        <w:rPr>
          <w:sz w:val="14"/>
        </w:rPr>
        <w:t xml:space="preserve">Human Capital Institute (HCI) Strategic Workforce Planning </w:t>
      </w:r>
      <w:r>
        <w:rPr>
          <w:sz w:val="14"/>
        </w:rPr>
        <w:t>Toolkit 2015.</w:t>
      </w:r>
    </w:p>
    <w:sectPr w:rsidR="00C17F14" w:rsidSect="00757ADC">
      <w:headerReference w:type="default" r:id="rId13"/>
      <w:footerReference w:type="default" r:id="rId14"/>
      <w:footerReference w:type="first" r:id="rId15"/>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A711" w14:textId="77777777" w:rsidR="00387839" w:rsidRDefault="00387839" w:rsidP="005655C9">
      <w:pPr>
        <w:spacing w:line="240" w:lineRule="auto"/>
      </w:pPr>
      <w:r>
        <w:separator/>
      </w:r>
    </w:p>
    <w:p w14:paraId="08D520E7" w14:textId="77777777" w:rsidR="00387839" w:rsidRDefault="00387839"/>
    <w:p w14:paraId="735BFCC8" w14:textId="77777777" w:rsidR="00387839" w:rsidRDefault="00387839" w:rsidP="00952B5B"/>
    <w:p w14:paraId="2AFD6DB5" w14:textId="77777777" w:rsidR="00387839" w:rsidRDefault="00387839" w:rsidP="00952B5B"/>
    <w:p w14:paraId="576685B4" w14:textId="77777777" w:rsidR="00387839" w:rsidRDefault="00387839"/>
    <w:p w14:paraId="13243923" w14:textId="77777777" w:rsidR="00387839" w:rsidRDefault="00387839"/>
    <w:p w14:paraId="6FB0B905" w14:textId="77777777" w:rsidR="00387839" w:rsidRDefault="00387839"/>
    <w:p w14:paraId="69B6F5B1" w14:textId="77777777" w:rsidR="00387839" w:rsidRDefault="00387839"/>
  </w:endnote>
  <w:endnote w:type="continuationSeparator" w:id="0">
    <w:p w14:paraId="319457D1" w14:textId="77777777" w:rsidR="00387839" w:rsidRDefault="00387839" w:rsidP="005655C9">
      <w:pPr>
        <w:spacing w:line="240" w:lineRule="auto"/>
      </w:pPr>
      <w:r>
        <w:continuationSeparator/>
      </w:r>
    </w:p>
    <w:p w14:paraId="22F9BE86" w14:textId="77777777" w:rsidR="00387839" w:rsidRDefault="00387839"/>
    <w:p w14:paraId="620EED19" w14:textId="77777777" w:rsidR="00387839" w:rsidRDefault="00387839" w:rsidP="00952B5B"/>
    <w:p w14:paraId="71AAD0CA" w14:textId="77777777" w:rsidR="00387839" w:rsidRDefault="00387839" w:rsidP="00952B5B"/>
    <w:p w14:paraId="4118C720" w14:textId="77777777" w:rsidR="00387839" w:rsidRDefault="00387839"/>
    <w:p w14:paraId="6E9BE645" w14:textId="77777777" w:rsidR="00387839" w:rsidRDefault="00387839"/>
    <w:p w14:paraId="6DDDE87D" w14:textId="77777777" w:rsidR="00387839" w:rsidRDefault="00387839"/>
    <w:p w14:paraId="752CF453" w14:textId="77777777" w:rsidR="00387839" w:rsidRDefault="0038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7F5F" w14:textId="1BC8AF38" w:rsidR="00C3613F" w:rsidRDefault="00157B6B" w:rsidP="00EB0EA5">
    <w:pPr>
      <w:pStyle w:val="Footer"/>
    </w:pPr>
    <w:sdt>
      <w:sdtPr>
        <w:alias w:val="Title"/>
        <w:tag w:val=""/>
        <w:id w:val="1243766629"/>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Role segmenting tool</w:t>
        </w:r>
      </w:sdtContent>
    </w:sdt>
    <w:r w:rsidR="00C3613F">
      <w:t xml:space="preserve"> - </w:t>
    </w:r>
    <w:sdt>
      <w:sdtPr>
        <w:alias w:val="Subject"/>
        <w:tag w:val=""/>
        <w:id w:val="-357897166"/>
        <w:dataBinding w:prefixMappings="xmlns:ns0='http://purl.org/dc/elements/1.1/' xmlns:ns1='http://schemas.openxmlformats.org/package/2006/metadata/core-properties' " w:xpath="/ns1:coreProperties[1]/ns0:subject[1]" w:storeItemID="{6C3C8BC8-F283-45AE-878A-BAB7291924A1}"/>
        <w:text/>
      </w:sdtPr>
      <w:sdtEndPr/>
      <w:sdtContent>
        <w:r>
          <w:t>Toolkit - Role segmenting tool</w:t>
        </w:r>
      </w:sdtContent>
    </w:sdt>
    <w:r w:rsidR="00C3613F">
      <w:t xml:space="preserve"> </w:t>
    </w:r>
    <w:r w:rsidR="00C3613F">
      <w:ptab w:relativeTo="margin" w:alignment="right" w:leader="none"/>
    </w:r>
    <w:r w:rsidR="00C3613F">
      <w:t xml:space="preserve">Page </w:t>
    </w:r>
    <w:r w:rsidR="00785EEC">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5C84" w14:textId="351A0BB9" w:rsidR="00C3613F" w:rsidRDefault="00157B6B" w:rsidP="00757ADC">
    <w:pPr>
      <w:pStyle w:val="Footer"/>
      <w:tabs>
        <w:tab w:val="clear" w:pos="4513"/>
        <w:tab w:val="center" w:pos="5245"/>
      </w:tabs>
    </w:pPr>
    <w:sdt>
      <w:sdtPr>
        <w:alias w:val="Title"/>
        <w:tag w:val=""/>
        <w:id w:val="-1615438095"/>
        <w:placeholder>
          <w:docPart w:val="8448D6FCEF6B445F842C4B706E55727B"/>
        </w:placeholder>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Role segmenting tool</w:t>
        </w:r>
      </w:sdtContent>
    </w:sdt>
    <w:r w:rsidR="00C3613F">
      <w:t xml:space="preserve"> - </w:t>
    </w:r>
    <w:sdt>
      <w:sdtPr>
        <w:alias w:val="Subject"/>
        <w:tag w:val=""/>
        <w:id w:val="-1700546271"/>
        <w:placeholder>
          <w:docPart w:val="E93BF3804794405CAA6ECA10DA012073"/>
        </w:placeholder>
        <w:dataBinding w:prefixMappings="xmlns:ns0='http://purl.org/dc/elements/1.1/' xmlns:ns1='http://schemas.openxmlformats.org/package/2006/metadata/core-properties' " w:xpath="/ns1:coreProperties[1]/ns0:subject[1]" w:storeItemID="{6C3C8BC8-F283-45AE-878A-BAB7291924A1}"/>
        <w:text/>
      </w:sdtPr>
      <w:sdtEndPr/>
      <w:sdtContent>
        <w:r>
          <w:t>Toolkit - Role segmenting tool</w:t>
        </w:r>
      </w:sdtContent>
    </w:sdt>
    <w:r w:rsidR="00C3613F">
      <w:t xml:space="preserve"> </w:t>
    </w:r>
    <w:r w:rsidR="00C3613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2FD4" w14:textId="10453837" w:rsidR="00C83692" w:rsidRDefault="00157B6B" w:rsidP="00EB0EA5">
    <w:pPr>
      <w:pStyle w:val="Footer"/>
    </w:pPr>
    <w:sdt>
      <w:sdtPr>
        <w:alias w:val="Title"/>
        <w:tag w:val=""/>
        <w:id w:val="-1529179171"/>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Role segmenting tool</w:t>
        </w:r>
      </w:sdtContent>
    </w:sdt>
    <w:r w:rsidR="00C83692">
      <w:t xml:space="preserve"> - </w:t>
    </w:r>
    <w:sdt>
      <w:sdtPr>
        <w:alias w:val="Subject"/>
        <w:tag w:val=""/>
        <w:id w:val="-732629842"/>
        <w:dataBinding w:prefixMappings="xmlns:ns0='http://purl.org/dc/elements/1.1/' xmlns:ns1='http://schemas.openxmlformats.org/package/2006/metadata/core-properties' " w:xpath="/ns1:coreProperties[1]/ns0:subject[1]" w:storeItemID="{6C3C8BC8-F283-45AE-878A-BAB7291924A1}"/>
        <w:text/>
      </w:sdtPr>
      <w:sdtEndPr/>
      <w:sdtContent>
        <w:r>
          <w:t>Toolkit - Role segmenting tool</w:t>
        </w:r>
      </w:sdtContent>
    </w:sdt>
    <w:r w:rsidR="00C83692">
      <w:t xml:space="preserve"> </w:t>
    </w:r>
    <w:r w:rsidR="00225F25">
      <w:ptab w:relativeTo="margin" w:alignment="right" w:leader="none"/>
    </w:r>
    <w:r w:rsidR="00225F25">
      <w:t xml:space="preserve">Page </w:t>
    </w:r>
    <w:r w:rsidR="00785EEC">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2D54" w14:textId="211A8866" w:rsidR="00C83692" w:rsidRDefault="00157B6B" w:rsidP="00757ADC">
    <w:pPr>
      <w:pStyle w:val="Footer"/>
      <w:tabs>
        <w:tab w:val="clear" w:pos="4513"/>
        <w:tab w:val="center" w:pos="5245"/>
      </w:tabs>
    </w:pPr>
    <w:sdt>
      <w:sdtPr>
        <w:alias w:val="Title"/>
        <w:tag w:val=""/>
        <w:id w:val="409278079"/>
        <w:placeholder>
          <w:docPart w:val="8448D6FCEF6B445F842C4B706E55727B"/>
        </w:placeholder>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Role segmenting tool</w:t>
        </w:r>
      </w:sdtContent>
    </w:sdt>
    <w:r w:rsidR="00C83692">
      <w:t xml:space="preserve"> - </w:t>
    </w:r>
    <w:sdt>
      <w:sdtPr>
        <w:alias w:val="Subject"/>
        <w:tag w:val=""/>
        <w:id w:val="1311439977"/>
        <w:placeholder>
          <w:docPart w:val="E93BF3804794405CAA6ECA10DA012073"/>
        </w:placeholder>
        <w:dataBinding w:prefixMappings="xmlns:ns0='http://purl.org/dc/elements/1.1/' xmlns:ns1='http://schemas.openxmlformats.org/package/2006/metadata/core-properties' " w:xpath="/ns1:coreProperties[1]/ns0:subject[1]" w:storeItemID="{6C3C8BC8-F283-45AE-878A-BAB7291924A1}"/>
        <w:text/>
      </w:sdtPr>
      <w:sdtEndPr/>
      <w:sdtContent>
        <w:r>
          <w:t>Toolkit - Role segmenting tool</w:t>
        </w:r>
      </w:sdtContent>
    </w:sdt>
    <w:r w:rsidR="00C83692">
      <w:t xml:space="preserve"> </w:t>
    </w:r>
    <w:r w:rsidR="00C8369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610A" w14:textId="77777777" w:rsidR="00387839" w:rsidRPr="00DB3896" w:rsidRDefault="00387839" w:rsidP="00DB3896">
      <w:pPr>
        <w:spacing w:line="240" w:lineRule="auto"/>
        <w:rPr>
          <w:color w:val="D9D9D9" w:themeColor="background1" w:themeShade="D9"/>
        </w:rPr>
      </w:pPr>
      <w:r w:rsidRPr="007638A8">
        <w:rPr>
          <w:color w:val="D9D9D9" w:themeColor="background1" w:themeShade="D9"/>
        </w:rPr>
        <w:separator/>
      </w:r>
    </w:p>
    <w:p w14:paraId="7E3D9D83" w14:textId="77777777" w:rsidR="00387839" w:rsidRDefault="00387839"/>
    <w:p w14:paraId="1CD0A57A" w14:textId="77777777" w:rsidR="00387839" w:rsidRDefault="00387839"/>
    <w:p w14:paraId="0B68E89B" w14:textId="77777777" w:rsidR="00387839" w:rsidRDefault="00387839"/>
  </w:footnote>
  <w:footnote w:type="continuationSeparator" w:id="0">
    <w:p w14:paraId="4AD5EB2B" w14:textId="77777777" w:rsidR="00387839" w:rsidRDefault="00387839" w:rsidP="005655C9">
      <w:pPr>
        <w:spacing w:line="240" w:lineRule="auto"/>
      </w:pPr>
      <w:r>
        <w:continuationSeparator/>
      </w:r>
    </w:p>
    <w:p w14:paraId="0BABB03C" w14:textId="77777777" w:rsidR="00387839" w:rsidRDefault="00387839"/>
    <w:p w14:paraId="54949894" w14:textId="77777777" w:rsidR="00387839" w:rsidRDefault="00387839" w:rsidP="00952B5B"/>
    <w:p w14:paraId="63AE5B1A" w14:textId="77777777" w:rsidR="00387839" w:rsidRDefault="00387839" w:rsidP="00952B5B"/>
    <w:p w14:paraId="32E9DF85" w14:textId="77777777" w:rsidR="00387839" w:rsidRDefault="00387839"/>
    <w:p w14:paraId="5130BA72" w14:textId="77777777" w:rsidR="00387839" w:rsidRDefault="00387839"/>
    <w:p w14:paraId="556D8C0B" w14:textId="77777777" w:rsidR="00387839" w:rsidRDefault="00387839"/>
    <w:p w14:paraId="66A259A9" w14:textId="77777777" w:rsidR="00387839" w:rsidRDefault="00387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0DE3" w14:textId="77777777" w:rsidR="00C3613F" w:rsidRPr="00225F25" w:rsidRDefault="00C3613F" w:rsidP="00225F25">
    <w:pPr>
      <w:pStyle w:val="Header"/>
      <w:tabs>
        <w:tab w:val="clear" w:pos="4513"/>
        <w:tab w:val="clear" w:pos="9026"/>
        <w:tab w:val="left" w:pos="1657"/>
      </w:tabs>
      <w:spacing w:before="240"/>
      <w:rPr>
        <w:b/>
        <w:bCs/>
      </w:rPr>
    </w:pPr>
    <w:r w:rsidRPr="00225F25">
      <w:rPr>
        <w:b/>
        <w:bCs/>
        <w:noProof/>
      </w:rPr>
      <w:drawing>
        <wp:anchor distT="0" distB="0" distL="114300" distR="114300" simplePos="0" relativeHeight="251661312" behindDoc="1" locked="0" layoutInCell="1" allowOverlap="1" wp14:anchorId="4CFF451B" wp14:editId="780AEDBA">
          <wp:simplePos x="0" y="0"/>
          <wp:positionH relativeFrom="column">
            <wp:posOffset>-962660</wp:posOffset>
          </wp:positionH>
          <wp:positionV relativeFrom="page">
            <wp:posOffset>-11166</wp:posOffset>
          </wp:positionV>
          <wp:extent cx="15116175" cy="1303020"/>
          <wp:effectExtent l="0" t="0" r="9525" b="0"/>
          <wp:wrapNone/>
          <wp:docPr id="1" name="Picture 1"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25">
      <w:rPr>
        <w:b/>
        <w:bCs/>
        <w:noProof/>
      </w:rPr>
      <w:t>Strategic health workforce planning framework toolkit - Resource</w:t>
    </w:r>
    <w:r w:rsidRPr="00225F25">
      <w:rPr>
        <w:b/>
        <w:bCs/>
      </w:rPr>
      <w:tab/>
    </w:r>
  </w:p>
  <w:p w14:paraId="0E5CA219" w14:textId="77777777" w:rsidR="00C3613F" w:rsidRDefault="00C361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CA64" w14:textId="77777777" w:rsidR="00C83692" w:rsidRPr="00225F25" w:rsidRDefault="00225F25" w:rsidP="00225F25">
    <w:pPr>
      <w:pStyle w:val="Header"/>
      <w:tabs>
        <w:tab w:val="clear" w:pos="4513"/>
        <w:tab w:val="clear" w:pos="9026"/>
        <w:tab w:val="left" w:pos="1657"/>
      </w:tabs>
      <w:spacing w:before="240"/>
      <w:rPr>
        <w:b/>
        <w:bCs/>
      </w:rPr>
    </w:pPr>
    <w:r w:rsidRPr="00225F25">
      <w:rPr>
        <w:b/>
        <w:bCs/>
        <w:noProof/>
      </w:rPr>
      <w:drawing>
        <wp:anchor distT="0" distB="0" distL="114300" distR="114300" simplePos="0" relativeHeight="251659264" behindDoc="1" locked="0" layoutInCell="1" allowOverlap="1" wp14:anchorId="449D5578" wp14:editId="62E4A2CD">
          <wp:simplePos x="0" y="0"/>
          <wp:positionH relativeFrom="column">
            <wp:posOffset>-962660</wp:posOffset>
          </wp:positionH>
          <wp:positionV relativeFrom="page">
            <wp:posOffset>-11166</wp:posOffset>
          </wp:positionV>
          <wp:extent cx="15116175" cy="1303020"/>
          <wp:effectExtent l="0" t="0" r="9525" b="0"/>
          <wp:wrapNone/>
          <wp:docPr id="7" name="Picture 7"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25">
      <w:rPr>
        <w:b/>
        <w:bCs/>
        <w:noProof/>
      </w:rPr>
      <w:t>Strategic health workforce planning framework toolkit - Resource</w:t>
    </w:r>
    <w:r w:rsidRPr="00225F25">
      <w:rPr>
        <w:b/>
        <w:bCs/>
      </w:rPr>
      <w:tab/>
    </w:r>
  </w:p>
  <w:p w14:paraId="6EC15610" w14:textId="77777777" w:rsidR="00C83692" w:rsidRDefault="00C83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F5565"/>
    <w:multiLevelType w:val="hybridMultilevel"/>
    <w:tmpl w:val="9E943B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3110EAB"/>
    <w:multiLevelType w:val="hybridMultilevel"/>
    <w:tmpl w:val="D230F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AB06A21"/>
    <w:multiLevelType w:val="hybridMultilevel"/>
    <w:tmpl w:val="7BDA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64AEF"/>
    <w:multiLevelType w:val="hybridMultilevel"/>
    <w:tmpl w:val="F2E26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281BF4"/>
    <w:multiLevelType w:val="hybridMultilevel"/>
    <w:tmpl w:val="2CA2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94328"/>
    <w:multiLevelType w:val="multilevel"/>
    <w:tmpl w:val="C2FE460C"/>
    <w:numStyleLink w:val="Bullets"/>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3FD60E0"/>
    <w:multiLevelType w:val="hybridMultilevel"/>
    <w:tmpl w:val="928C8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E908B1"/>
    <w:multiLevelType w:val="hybridMultilevel"/>
    <w:tmpl w:val="AF14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61380"/>
    <w:multiLevelType w:val="hybridMultilevel"/>
    <w:tmpl w:val="B20ADC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6633EF"/>
    <w:multiLevelType w:val="hybridMultilevel"/>
    <w:tmpl w:val="18108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27092"/>
    <w:multiLevelType w:val="hybridMultilevel"/>
    <w:tmpl w:val="D67E3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1838D5"/>
    <w:multiLevelType w:val="hybridMultilevel"/>
    <w:tmpl w:val="FA94B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11"/>
  </w:num>
  <w:num w:numId="6">
    <w:abstractNumId w:val="10"/>
  </w:num>
  <w:num w:numId="7">
    <w:abstractNumId w:val="1"/>
  </w:num>
  <w:num w:numId="8">
    <w:abstractNumId w:val="9"/>
  </w:num>
  <w:num w:numId="9">
    <w:abstractNumId w:val="15"/>
  </w:num>
  <w:num w:numId="10">
    <w:abstractNumId w:val="7"/>
  </w:num>
  <w:num w:numId="11">
    <w:abstractNumId w:val="17"/>
  </w:num>
  <w:num w:numId="12">
    <w:abstractNumId w:val="13"/>
  </w:num>
  <w:num w:numId="13">
    <w:abstractNumId w:val="6"/>
  </w:num>
  <w:num w:numId="14">
    <w:abstractNumId w:val="14"/>
  </w:num>
  <w:num w:numId="15">
    <w:abstractNumId w:val="16"/>
  </w:num>
  <w:num w:numId="16">
    <w:abstractNumId w:val="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5E"/>
    <w:rsid w:val="0000006D"/>
    <w:rsid w:val="00002B1B"/>
    <w:rsid w:val="0000330E"/>
    <w:rsid w:val="00004C05"/>
    <w:rsid w:val="000102EE"/>
    <w:rsid w:val="00011ACB"/>
    <w:rsid w:val="00016271"/>
    <w:rsid w:val="000177FA"/>
    <w:rsid w:val="00020E27"/>
    <w:rsid w:val="00022D7A"/>
    <w:rsid w:val="00022DDB"/>
    <w:rsid w:val="00030AB2"/>
    <w:rsid w:val="000317F2"/>
    <w:rsid w:val="0003774E"/>
    <w:rsid w:val="000379C7"/>
    <w:rsid w:val="0004535D"/>
    <w:rsid w:val="00047071"/>
    <w:rsid w:val="00050FE6"/>
    <w:rsid w:val="00054FA5"/>
    <w:rsid w:val="000563EB"/>
    <w:rsid w:val="00056BD6"/>
    <w:rsid w:val="00060860"/>
    <w:rsid w:val="00065A54"/>
    <w:rsid w:val="00066B7B"/>
    <w:rsid w:val="000712C1"/>
    <w:rsid w:val="00071708"/>
    <w:rsid w:val="00073919"/>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1C20"/>
    <w:rsid w:val="000A5480"/>
    <w:rsid w:val="000A5C61"/>
    <w:rsid w:val="000A66BF"/>
    <w:rsid w:val="000A71FA"/>
    <w:rsid w:val="000B2BCA"/>
    <w:rsid w:val="000B72B4"/>
    <w:rsid w:val="000C4228"/>
    <w:rsid w:val="000D0B02"/>
    <w:rsid w:val="000D154F"/>
    <w:rsid w:val="000D31C5"/>
    <w:rsid w:val="000D39E0"/>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57B6B"/>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25F25"/>
    <w:rsid w:val="002301B6"/>
    <w:rsid w:val="002309A1"/>
    <w:rsid w:val="002315D9"/>
    <w:rsid w:val="002373F8"/>
    <w:rsid w:val="00240836"/>
    <w:rsid w:val="00240897"/>
    <w:rsid w:val="002449FC"/>
    <w:rsid w:val="00245840"/>
    <w:rsid w:val="002479A4"/>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1660"/>
    <w:rsid w:val="00314153"/>
    <w:rsid w:val="00314B98"/>
    <w:rsid w:val="00316B60"/>
    <w:rsid w:val="00316C21"/>
    <w:rsid w:val="00317E0F"/>
    <w:rsid w:val="0032406F"/>
    <w:rsid w:val="003324A5"/>
    <w:rsid w:val="00333D1A"/>
    <w:rsid w:val="003341F1"/>
    <w:rsid w:val="003353E9"/>
    <w:rsid w:val="00341F88"/>
    <w:rsid w:val="00344CD5"/>
    <w:rsid w:val="003461A3"/>
    <w:rsid w:val="003464AA"/>
    <w:rsid w:val="00350750"/>
    <w:rsid w:val="00350C0A"/>
    <w:rsid w:val="003529B3"/>
    <w:rsid w:val="00352B72"/>
    <w:rsid w:val="00354930"/>
    <w:rsid w:val="00355039"/>
    <w:rsid w:val="00357128"/>
    <w:rsid w:val="003605F9"/>
    <w:rsid w:val="00362C15"/>
    <w:rsid w:val="00364062"/>
    <w:rsid w:val="003661B9"/>
    <w:rsid w:val="003670B4"/>
    <w:rsid w:val="00373DF9"/>
    <w:rsid w:val="0037411B"/>
    <w:rsid w:val="00376393"/>
    <w:rsid w:val="0038642A"/>
    <w:rsid w:val="00387381"/>
    <w:rsid w:val="00387839"/>
    <w:rsid w:val="003878E3"/>
    <w:rsid w:val="00395EFF"/>
    <w:rsid w:val="003A2B34"/>
    <w:rsid w:val="003A6203"/>
    <w:rsid w:val="003B1457"/>
    <w:rsid w:val="003B6431"/>
    <w:rsid w:val="003B7ED7"/>
    <w:rsid w:val="003C775C"/>
    <w:rsid w:val="003D2D25"/>
    <w:rsid w:val="003E174B"/>
    <w:rsid w:val="003E5191"/>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317B"/>
    <w:rsid w:val="00436F69"/>
    <w:rsid w:val="00442878"/>
    <w:rsid w:val="00444053"/>
    <w:rsid w:val="00444C11"/>
    <w:rsid w:val="0044735C"/>
    <w:rsid w:val="00447A4C"/>
    <w:rsid w:val="00460114"/>
    <w:rsid w:val="00460870"/>
    <w:rsid w:val="00462408"/>
    <w:rsid w:val="00462C04"/>
    <w:rsid w:val="00462DC3"/>
    <w:rsid w:val="00463275"/>
    <w:rsid w:val="004652CC"/>
    <w:rsid w:val="00473EC6"/>
    <w:rsid w:val="00474C27"/>
    <w:rsid w:val="0047576D"/>
    <w:rsid w:val="0048181E"/>
    <w:rsid w:val="00482CC3"/>
    <w:rsid w:val="004831D3"/>
    <w:rsid w:val="00484A97"/>
    <w:rsid w:val="004866E5"/>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7A1"/>
    <w:rsid w:val="004F1C97"/>
    <w:rsid w:val="004F4A08"/>
    <w:rsid w:val="00500A17"/>
    <w:rsid w:val="00501377"/>
    <w:rsid w:val="00505703"/>
    <w:rsid w:val="005138A2"/>
    <w:rsid w:val="00513E2B"/>
    <w:rsid w:val="005205B8"/>
    <w:rsid w:val="00521B45"/>
    <w:rsid w:val="00524A14"/>
    <w:rsid w:val="0052755E"/>
    <w:rsid w:val="005277E7"/>
    <w:rsid w:val="00531475"/>
    <w:rsid w:val="00531752"/>
    <w:rsid w:val="00536EFE"/>
    <w:rsid w:val="005433C7"/>
    <w:rsid w:val="0054704A"/>
    <w:rsid w:val="00553A02"/>
    <w:rsid w:val="00555240"/>
    <w:rsid w:val="00555902"/>
    <w:rsid w:val="0056004A"/>
    <w:rsid w:val="0056129F"/>
    <w:rsid w:val="005619DA"/>
    <w:rsid w:val="005655C9"/>
    <w:rsid w:val="00566B11"/>
    <w:rsid w:val="00575D7E"/>
    <w:rsid w:val="00577AF8"/>
    <w:rsid w:val="00580230"/>
    <w:rsid w:val="00584C97"/>
    <w:rsid w:val="0058662F"/>
    <w:rsid w:val="005871AA"/>
    <w:rsid w:val="005951EE"/>
    <w:rsid w:val="005965C9"/>
    <w:rsid w:val="00596729"/>
    <w:rsid w:val="005A2F1B"/>
    <w:rsid w:val="005A50DE"/>
    <w:rsid w:val="005A7842"/>
    <w:rsid w:val="005A7C02"/>
    <w:rsid w:val="005B2A03"/>
    <w:rsid w:val="005B3180"/>
    <w:rsid w:val="005B57AE"/>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754B"/>
    <w:rsid w:val="007321AB"/>
    <w:rsid w:val="00734807"/>
    <w:rsid w:val="0073685D"/>
    <w:rsid w:val="007404B1"/>
    <w:rsid w:val="0074617E"/>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85EEC"/>
    <w:rsid w:val="00791250"/>
    <w:rsid w:val="00795804"/>
    <w:rsid w:val="0079737D"/>
    <w:rsid w:val="007A0895"/>
    <w:rsid w:val="007A4105"/>
    <w:rsid w:val="007B35BF"/>
    <w:rsid w:val="007B5450"/>
    <w:rsid w:val="007B66B8"/>
    <w:rsid w:val="007B680B"/>
    <w:rsid w:val="007B7B0D"/>
    <w:rsid w:val="007B7BBC"/>
    <w:rsid w:val="007B7EA6"/>
    <w:rsid w:val="007C0D8F"/>
    <w:rsid w:val="007C71ED"/>
    <w:rsid w:val="007D1EBB"/>
    <w:rsid w:val="007D1F6C"/>
    <w:rsid w:val="007D2DCB"/>
    <w:rsid w:val="007D344A"/>
    <w:rsid w:val="007D6A2F"/>
    <w:rsid w:val="007E2E42"/>
    <w:rsid w:val="007E350E"/>
    <w:rsid w:val="007E3D08"/>
    <w:rsid w:val="007E6348"/>
    <w:rsid w:val="007E6AB3"/>
    <w:rsid w:val="007E7BA4"/>
    <w:rsid w:val="007F282D"/>
    <w:rsid w:val="007F2BC9"/>
    <w:rsid w:val="007F2DC6"/>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93E30"/>
    <w:rsid w:val="00897DA3"/>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2F"/>
    <w:rsid w:val="008F7945"/>
    <w:rsid w:val="009019A2"/>
    <w:rsid w:val="00901FFD"/>
    <w:rsid w:val="00903887"/>
    <w:rsid w:val="00905500"/>
    <w:rsid w:val="00905B58"/>
    <w:rsid w:val="00907041"/>
    <w:rsid w:val="00907AE9"/>
    <w:rsid w:val="009111AB"/>
    <w:rsid w:val="00914181"/>
    <w:rsid w:val="00915748"/>
    <w:rsid w:val="00917AFE"/>
    <w:rsid w:val="00921916"/>
    <w:rsid w:val="00922111"/>
    <w:rsid w:val="009230D6"/>
    <w:rsid w:val="00923E23"/>
    <w:rsid w:val="009248CC"/>
    <w:rsid w:val="00926742"/>
    <w:rsid w:val="009302A2"/>
    <w:rsid w:val="00930FDA"/>
    <w:rsid w:val="00931347"/>
    <w:rsid w:val="009337DB"/>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231B"/>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62D5"/>
    <w:rsid w:val="00AA7264"/>
    <w:rsid w:val="00AA767D"/>
    <w:rsid w:val="00AB1155"/>
    <w:rsid w:val="00AB34FD"/>
    <w:rsid w:val="00AB51C9"/>
    <w:rsid w:val="00AB717A"/>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17F14"/>
    <w:rsid w:val="00C202BD"/>
    <w:rsid w:val="00C230FB"/>
    <w:rsid w:val="00C2449F"/>
    <w:rsid w:val="00C31308"/>
    <w:rsid w:val="00C3613F"/>
    <w:rsid w:val="00C37D90"/>
    <w:rsid w:val="00C406BB"/>
    <w:rsid w:val="00C411F6"/>
    <w:rsid w:val="00C44CC2"/>
    <w:rsid w:val="00C463CB"/>
    <w:rsid w:val="00C50FF0"/>
    <w:rsid w:val="00C62BF6"/>
    <w:rsid w:val="00C66D8F"/>
    <w:rsid w:val="00C673B8"/>
    <w:rsid w:val="00C71484"/>
    <w:rsid w:val="00C76224"/>
    <w:rsid w:val="00C76568"/>
    <w:rsid w:val="00C83692"/>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07EAA"/>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1381"/>
    <w:rsid w:val="00D82B75"/>
    <w:rsid w:val="00D851C4"/>
    <w:rsid w:val="00D90EB7"/>
    <w:rsid w:val="00D96285"/>
    <w:rsid w:val="00D96F6C"/>
    <w:rsid w:val="00D97072"/>
    <w:rsid w:val="00DA1A3A"/>
    <w:rsid w:val="00DB0A95"/>
    <w:rsid w:val="00DB0C46"/>
    <w:rsid w:val="00DB0E5A"/>
    <w:rsid w:val="00DB1D3D"/>
    <w:rsid w:val="00DB3896"/>
    <w:rsid w:val="00DB7614"/>
    <w:rsid w:val="00DB7647"/>
    <w:rsid w:val="00DC16F3"/>
    <w:rsid w:val="00DC2FD2"/>
    <w:rsid w:val="00DC5219"/>
    <w:rsid w:val="00DD1908"/>
    <w:rsid w:val="00DD2D88"/>
    <w:rsid w:val="00DD3033"/>
    <w:rsid w:val="00DD5E17"/>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47CB6"/>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0BAF"/>
    <w:rsid w:val="00ED1EEA"/>
    <w:rsid w:val="00EE0CAC"/>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243B"/>
    <w:rsid w:val="00FA330E"/>
    <w:rsid w:val="00FA4298"/>
    <w:rsid w:val="00FA5B33"/>
    <w:rsid w:val="00FA7309"/>
    <w:rsid w:val="00FB0A93"/>
    <w:rsid w:val="00FB3F55"/>
    <w:rsid w:val="00FB5F87"/>
    <w:rsid w:val="00FB7898"/>
    <w:rsid w:val="00FC1E89"/>
    <w:rsid w:val="00FD12A8"/>
    <w:rsid w:val="00FD19C7"/>
    <w:rsid w:val="00FD3061"/>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701DB0D1"/>
  <w14:discardImageEditingData/>
  <w14:defaultImageDpi w14:val="330"/>
  <w15:chartTrackingRefBased/>
  <w15:docId w15:val="{5311072C-3194-4C01-8E90-7381B81A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9"/>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39"/>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39"/>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39"/>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1"/>
    <w:qFormat/>
    <w:rsid w:val="008D7AC0"/>
  </w:style>
  <w:style w:type="character" w:customStyle="1" w:styleId="NoSpacingChar">
    <w:name w:val="No Spacing Char"/>
    <w:basedOn w:val="DefaultParagraphFont"/>
    <w:link w:val="NoSpacing"/>
    <w:uiPriority w:val="1"/>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9"/>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0"/>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0"/>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1"/>
    <w:qFormat/>
    <w:rsid w:val="002D755A"/>
    <w:rPr>
      <w:i/>
      <w:iCs/>
      <w:color w:val="105674" w:themeColor="accent3" w:themeShade="80"/>
    </w:rPr>
  </w:style>
  <w:style w:type="character" w:styleId="UnresolvedMention">
    <w:name w:val="Unresolved Mention"/>
    <w:basedOn w:val="DefaultParagraphFont"/>
    <w:uiPriority w:val="99"/>
    <w:unhideWhenUsed/>
    <w:rsid w:val="008D7AC0"/>
    <w:rPr>
      <w:color w:val="808080"/>
      <w:shd w:val="clear" w:color="auto" w:fill="E6E6E6"/>
    </w:rPr>
  </w:style>
  <w:style w:type="paragraph" w:styleId="Quote">
    <w:name w:val="Quote"/>
    <w:aliases w:val="Standard Quote"/>
    <w:basedOn w:val="BodyText"/>
    <w:next w:val="BodyText"/>
    <w:link w:val="QuoteChar"/>
    <w:uiPriority w:val="29"/>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29"/>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19"/>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22"/>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Emphasis">
    <w:name w:val="Emphasis"/>
    <w:basedOn w:val="DefaultParagraphFont"/>
    <w:uiPriority w:val="20"/>
    <w:rsid w:val="00C17F14"/>
    <w:rPr>
      <w:i/>
      <w:iCs/>
    </w:rPr>
  </w:style>
  <w:style w:type="character" w:styleId="SubtleReference">
    <w:name w:val="Subtle Reference"/>
    <w:basedOn w:val="DefaultParagraphFont"/>
    <w:uiPriority w:val="31"/>
    <w:rsid w:val="00C17F14"/>
    <w:rPr>
      <w:smallCaps/>
      <w:color w:val="5A5A5A" w:themeColor="text1" w:themeTint="A5"/>
    </w:rPr>
  </w:style>
  <w:style w:type="character" w:styleId="IntenseReference">
    <w:name w:val="Intense Reference"/>
    <w:basedOn w:val="DefaultParagraphFont"/>
    <w:uiPriority w:val="32"/>
    <w:rsid w:val="00C17F14"/>
    <w:rPr>
      <w:b/>
      <w:bCs/>
      <w:smallCaps/>
      <w:color w:val="auto"/>
      <w:spacing w:val="5"/>
    </w:rPr>
  </w:style>
  <w:style w:type="character" w:styleId="BookTitle">
    <w:name w:val="Book Title"/>
    <w:basedOn w:val="DefaultParagraphFont"/>
    <w:uiPriority w:val="33"/>
    <w:rsid w:val="00C17F14"/>
    <w:rPr>
      <w:b/>
      <w:bCs/>
      <w:i/>
      <w:iCs/>
      <w:spacing w:val="5"/>
    </w:rPr>
  </w:style>
  <w:style w:type="paragraph" w:customStyle="1" w:styleId="Title1">
    <w:name w:val="Title 1"/>
    <w:basedOn w:val="Heading1"/>
    <w:autoRedefine/>
    <w:qFormat/>
    <w:rsid w:val="00C17F14"/>
    <w:pPr>
      <w:keepNext w:val="0"/>
      <w:keepLines w:val="0"/>
      <w:widowControl w:val="0"/>
      <w:suppressAutoHyphens/>
      <w:autoSpaceDE w:val="0"/>
      <w:autoSpaceDN w:val="0"/>
      <w:adjustRightInd w:val="0"/>
      <w:spacing w:before="0" w:after="0"/>
      <w:jc w:val="center"/>
      <w:textAlignment w:val="center"/>
      <w:textboxTightWrap w:val="none"/>
    </w:pPr>
    <w:rPr>
      <w:rFonts w:ascii="Arial" w:eastAsia="MS Mincho" w:hAnsi="Arial" w:cs="Arial"/>
      <w:b/>
      <w:color w:val="FFFFFF" w:themeColor="background1"/>
      <w:kern w:val="0"/>
      <w:sz w:val="80"/>
      <w:szCs w:val="56"/>
      <w:lang w:val="en-GB" w:eastAsia="en-AU"/>
      <w14:numSpacing w14:val="default"/>
    </w:rPr>
  </w:style>
  <w:style w:type="paragraph" w:customStyle="1" w:styleId="Title2">
    <w:name w:val="Title 2"/>
    <w:basedOn w:val="Heading2"/>
    <w:autoRedefine/>
    <w:qFormat/>
    <w:rsid w:val="00C17F14"/>
    <w:pPr>
      <w:keepNext w:val="0"/>
      <w:keepLines w:val="0"/>
      <w:spacing w:before="0" w:after="120" w:line="240" w:lineRule="auto"/>
      <w:textboxTightWrap w:val="none"/>
    </w:pPr>
    <w:rPr>
      <w:rFonts w:ascii="Arial" w:eastAsiaTheme="minorHAnsi" w:hAnsi="Arial" w:cs="Arial"/>
      <w:b/>
      <w:bCs/>
      <w:color w:val="CCE29B" w:themeColor="accent5"/>
      <w:kern w:val="0"/>
      <w:sz w:val="36"/>
      <w:szCs w:val="40"/>
      <w:lang w:eastAsia="en-US"/>
      <w14:numSpacing w14:val="default"/>
    </w:rPr>
  </w:style>
  <w:style w:type="paragraph" w:customStyle="1" w:styleId="FooterpageNumber">
    <w:name w:val="Footer page Number"/>
    <w:basedOn w:val="Footer"/>
    <w:rsid w:val="00C17F14"/>
    <w:pPr>
      <w:tabs>
        <w:tab w:val="clear" w:pos="4513"/>
        <w:tab w:val="clear" w:pos="9026"/>
      </w:tabs>
      <w:spacing w:before="0" w:after="0"/>
      <w:jc w:val="right"/>
      <w:textboxTightWrap w:val="none"/>
    </w:pPr>
    <w:rPr>
      <w:rFonts w:ascii="Arial" w:eastAsia="Times New Roman" w:hAnsi="Arial" w:cs="Times New Roman"/>
      <w:b/>
      <w:color w:val="635D63"/>
      <w:kern w:val="0"/>
      <w:szCs w:val="18"/>
      <w:lang w:eastAsia="en-AU"/>
      <w14:numSpacing w14:val="default"/>
    </w:rPr>
  </w:style>
  <w:style w:type="paragraph" w:customStyle="1" w:styleId="Default">
    <w:name w:val="Default"/>
    <w:rsid w:val="00C17F14"/>
    <w:pPr>
      <w:autoSpaceDE w:val="0"/>
      <w:autoSpaceDN w:val="0"/>
      <w:adjustRightInd w:val="0"/>
      <w:spacing w:line="240" w:lineRule="auto"/>
    </w:pPr>
    <w:rPr>
      <w:rFonts w:ascii="Brandon Text Light" w:hAnsi="Brandon Text Light" w:cs="Brandon Text Light"/>
      <w:color w:val="000000"/>
      <w:sz w:val="24"/>
      <w:szCs w:val="24"/>
    </w:rPr>
  </w:style>
  <w:style w:type="paragraph" w:customStyle="1" w:styleId="Pa21">
    <w:name w:val="Pa2+1"/>
    <w:basedOn w:val="Default"/>
    <w:next w:val="Default"/>
    <w:uiPriority w:val="99"/>
    <w:rsid w:val="00C17F14"/>
    <w:pPr>
      <w:spacing w:line="191" w:lineRule="atLeast"/>
    </w:pPr>
    <w:rPr>
      <w:rFonts w:cstheme="minorBidi"/>
      <w:color w:val="auto"/>
    </w:rPr>
  </w:style>
  <w:style w:type="paragraph" w:customStyle="1" w:styleId="Pa17">
    <w:name w:val="Pa17"/>
    <w:basedOn w:val="Default"/>
    <w:next w:val="Default"/>
    <w:uiPriority w:val="99"/>
    <w:rsid w:val="00C17F14"/>
    <w:pPr>
      <w:spacing w:line="221" w:lineRule="atLeast"/>
    </w:pPr>
    <w:rPr>
      <w:rFonts w:ascii="Brandon Text Bold" w:hAnsi="Brandon Text Bold" w:cstheme="minorBidi"/>
      <w:color w:val="auto"/>
    </w:rPr>
  </w:style>
  <w:style w:type="paragraph" w:customStyle="1" w:styleId="Pa7">
    <w:name w:val="Pa7"/>
    <w:basedOn w:val="Default"/>
    <w:next w:val="Default"/>
    <w:uiPriority w:val="99"/>
    <w:rsid w:val="00C17F14"/>
    <w:pPr>
      <w:spacing w:line="191" w:lineRule="atLeast"/>
    </w:pPr>
    <w:rPr>
      <w:rFonts w:ascii="Brandon Text Bold" w:hAnsi="Brandon Text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8D6FCEF6B445F842C4B706E55727B"/>
        <w:category>
          <w:name w:val="General"/>
          <w:gallery w:val="placeholder"/>
        </w:category>
        <w:types>
          <w:type w:val="bbPlcHdr"/>
        </w:types>
        <w:behaviors>
          <w:behavior w:val="content"/>
        </w:behaviors>
        <w:guid w:val="{089843E9-B0CD-4F4E-BA55-566A0CB88047}"/>
      </w:docPartPr>
      <w:docPartBody>
        <w:p w:rsidR="00012148" w:rsidRDefault="00B166B8">
          <w:pPr>
            <w:pStyle w:val="8448D6FCEF6B445F842C4B706E55727B"/>
          </w:pPr>
          <w:r w:rsidRPr="001A5BE2">
            <w:rPr>
              <w:rStyle w:val="PlaceholderText"/>
            </w:rPr>
            <w:t>[Title]</w:t>
          </w:r>
        </w:p>
      </w:docPartBody>
    </w:docPart>
    <w:docPart>
      <w:docPartPr>
        <w:name w:val="E93BF3804794405CAA6ECA10DA012073"/>
        <w:category>
          <w:name w:val="General"/>
          <w:gallery w:val="placeholder"/>
        </w:category>
        <w:types>
          <w:type w:val="bbPlcHdr"/>
        </w:types>
        <w:behaviors>
          <w:behavior w:val="content"/>
        </w:behaviors>
        <w:guid w:val="{244A2477-3EFF-49FC-8E62-779231D71DAF}"/>
      </w:docPartPr>
      <w:docPartBody>
        <w:p w:rsidR="00012148" w:rsidRDefault="00B166B8">
          <w:pPr>
            <w:pStyle w:val="E93BF3804794405CAA6ECA10DA012073"/>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8"/>
    <w:rsid w:val="00012148"/>
    <w:rsid w:val="000E7509"/>
    <w:rsid w:val="00440D59"/>
    <w:rsid w:val="00492884"/>
    <w:rsid w:val="00583F83"/>
    <w:rsid w:val="00646771"/>
    <w:rsid w:val="00653BE8"/>
    <w:rsid w:val="007B431E"/>
    <w:rsid w:val="00880E58"/>
    <w:rsid w:val="00A71DD0"/>
    <w:rsid w:val="00B166B8"/>
    <w:rsid w:val="00D759F6"/>
    <w:rsid w:val="00FD3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48D6FCEF6B445F842C4B706E55727B">
    <w:name w:val="8448D6FCEF6B445F842C4B706E55727B"/>
  </w:style>
  <w:style w:type="paragraph" w:customStyle="1" w:styleId="E93BF3804794405CAA6ECA10DA012073">
    <w:name w:val="E93BF3804794405CAA6ECA10DA012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383BCE69-1A39-4B97-BCED-4F6B8B4D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Strategic health workforce planning framework toolkit - Role segmenting tool</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health workforce planning framework toolkit - Role segmenting tool</dc:title>
  <dc:subject>Toolkit - Role segmenting tool</dc:subject>
  <dc:creator>Workforce Strategy Branch, Queensland Health</dc:creator>
  <cp:keywords/>
  <dc:description/>
  <cp:lastModifiedBy>Karina Millwater</cp:lastModifiedBy>
  <cp:revision>3</cp:revision>
  <cp:lastPrinted>2019-11-22T05:45:00Z</cp:lastPrinted>
  <dcterms:created xsi:type="dcterms:W3CDTF">2020-06-30T07:03:00Z</dcterms:created>
  <dcterms:modified xsi:type="dcterms:W3CDTF">2020-07-01T00:34:00Z</dcterms:modified>
</cp:coreProperties>
</file>