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98C" w14:textId="50B5CA4E" w:rsidR="00C17F14" w:rsidRPr="0099563A" w:rsidRDefault="00785EEC" w:rsidP="00C3613F">
      <w:pPr>
        <w:pStyle w:val="Heading2"/>
        <w:spacing w:before="0"/>
      </w:pPr>
      <w:bookmarkStart w:id="0" w:name="_Toc25233921"/>
      <w:bookmarkStart w:id="1" w:name="_Toc25234096"/>
      <w:bookmarkStart w:id="2" w:name="_Toc39586642"/>
      <w:r>
        <w:t>Step 2-</w:t>
      </w:r>
      <w:r w:rsidR="0008671F">
        <w:t>G</w:t>
      </w:r>
      <w:r>
        <w:t xml:space="preserve">: </w:t>
      </w:r>
      <w:bookmarkStart w:id="3" w:name="_GoBack"/>
      <w:r w:rsidR="0008671F">
        <w:t>Benchmarking tool</w:t>
      </w:r>
      <w:bookmarkEnd w:id="0"/>
      <w:bookmarkEnd w:id="1"/>
      <w:bookmarkEnd w:id="2"/>
    </w:p>
    <w:bookmarkEnd w:id="3"/>
    <w:p w14:paraId="7C293F77" w14:textId="77777777" w:rsidR="00C3613F" w:rsidRDefault="00C3613F" w:rsidP="00C3613F">
      <w:pPr>
        <w:autoSpaceDE w:val="0"/>
        <w:autoSpaceDN w:val="0"/>
        <w:adjustRightInd w:val="0"/>
        <w:spacing w:line="221" w:lineRule="atLeast"/>
        <w:ind w:left="142"/>
        <w:rPr>
          <w:rFonts w:cs="Arial"/>
        </w:rPr>
        <w:sectPr w:rsidR="00C3613F" w:rsidSect="007A0DEB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531" w:right="1133" w:bottom="1531" w:left="1134" w:header="709" w:footer="709" w:gutter="0"/>
          <w:cols w:space="708"/>
          <w:docGrid w:linePitch="360"/>
        </w:sectPr>
      </w:pPr>
    </w:p>
    <w:p w14:paraId="46D9EC53" w14:textId="77777777" w:rsidR="00C17F14" w:rsidRDefault="00C17F14" w:rsidP="00C17F14">
      <w:pPr>
        <w:rPr>
          <w:lang w:val="en-GB" w:eastAsia="en-AU"/>
        </w:rPr>
      </w:pPr>
      <w:r>
        <w:rPr>
          <w:lang w:val="en-GB" w:eastAsia="en-AU"/>
        </w:rPr>
        <w:t xml:space="preserve">Where data is available, benchmarking provides an opportunity to compare aspects of </w:t>
      </w:r>
      <w:r w:rsidR="00FD3061">
        <w:rPr>
          <w:lang w:val="en-GB" w:eastAsia="en-AU"/>
        </w:rPr>
        <w:t xml:space="preserve">the </w:t>
      </w:r>
      <w:r>
        <w:rPr>
          <w:lang w:val="en-GB" w:eastAsia="en-AU"/>
        </w:rPr>
        <w:t>organisation’s workforce profile with those of other similar organisations. This type of analysis should be done with caution since each organisation has a unique operating context, however it can be a useful tool for highlighting points of difference that warrant further enquiry.</w:t>
      </w:r>
    </w:p>
    <w:p w14:paraId="314BF728" w14:textId="77777777" w:rsidR="007D6A2F" w:rsidRPr="004678E5" w:rsidRDefault="007D6A2F" w:rsidP="00C17F14">
      <w:pPr>
        <w:rPr>
          <w:lang w:val="en-GB" w:eastAsia="en-AU"/>
        </w:rPr>
      </w:pPr>
    </w:p>
    <w:tbl>
      <w:tblPr>
        <w:tblStyle w:val="TableGrid"/>
        <w:tblW w:w="9771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</w:tblCellMar>
        <w:tblLook w:val="04A0" w:firstRow="1" w:lastRow="0" w:firstColumn="1" w:lastColumn="0" w:noHBand="0" w:noVBand="1"/>
      </w:tblPr>
      <w:tblGrid>
        <w:gridCol w:w="1550"/>
        <w:gridCol w:w="1174"/>
        <w:gridCol w:w="1174"/>
        <w:gridCol w:w="1175"/>
        <w:gridCol w:w="1174"/>
        <w:gridCol w:w="1175"/>
        <w:gridCol w:w="1174"/>
        <w:gridCol w:w="1175"/>
      </w:tblGrid>
      <w:tr w:rsidR="00C17F14" w:rsidRPr="002C5BD9" w14:paraId="7CD6C2EF" w14:textId="77777777" w:rsidTr="00C17F14">
        <w:tc>
          <w:tcPr>
            <w:tcW w:w="1550" w:type="dxa"/>
            <w:tcBorders>
              <w:top w:val="single" w:sz="8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  <w:tcMar>
              <w:top w:w="85" w:type="dxa"/>
            </w:tcMar>
            <w:vAlign w:val="center"/>
          </w:tcPr>
          <w:p w14:paraId="4A558C8D" w14:textId="77777777" w:rsidR="00C17F14" w:rsidRPr="002C5BD9" w:rsidRDefault="00C17F14" w:rsidP="00C17F1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  <w:t>Organisation</w:t>
            </w:r>
          </w:p>
        </w:tc>
        <w:tc>
          <w:tcPr>
            <w:tcW w:w="1174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  <w:tcMar>
              <w:top w:w="85" w:type="dxa"/>
            </w:tcMar>
            <w:vAlign w:val="center"/>
          </w:tcPr>
          <w:p w14:paraId="4EFDE0F4" w14:textId="77777777" w:rsidR="00C17F14" w:rsidRPr="002C5BD9" w:rsidRDefault="00C17F14" w:rsidP="00C17F1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  <w:t>Head-count/ FTE</w:t>
            </w:r>
          </w:p>
        </w:tc>
        <w:tc>
          <w:tcPr>
            <w:tcW w:w="1174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tcMar>
              <w:top w:w="85" w:type="dxa"/>
            </w:tcMar>
            <w:vAlign w:val="center"/>
          </w:tcPr>
          <w:p w14:paraId="7CABC169" w14:textId="77777777" w:rsidR="00C17F14" w:rsidRPr="002C5BD9" w:rsidRDefault="00C17F14" w:rsidP="00C17F1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  <w:t>Average age</w:t>
            </w:r>
          </w:p>
        </w:tc>
        <w:tc>
          <w:tcPr>
            <w:tcW w:w="1175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tcMar>
              <w:top w:w="85" w:type="dxa"/>
            </w:tcMar>
            <w:vAlign w:val="center"/>
          </w:tcPr>
          <w:p w14:paraId="6427D201" w14:textId="77777777" w:rsidR="00C17F14" w:rsidRPr="002C5BD9" w:rsidRDefault="00C17F14" w:rsidP="00C17F1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  <w:t>Average age</w:t>
            </w:r>
          </w:p>
        </w:tc>
        <w:tc>
          <w:tcPr>
            <w:tcW w:w="1174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tcMar>
              <w:top w:w="85" w:type="dxa"/>
            </w:tcMar>
            <w:vAlign w:val="center"/>
          </w:tcPr>
          <w:p w14:paraId="66B049C0" w14:textId="77777777" w:rsidR="00C17F14" w:rsidRPr="002C5BD9" w:rsidRDefault="00C17F14" w:rsidP="00C17F1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  <w:t>Gender % female</w:t>
            </w:r>
          </w:p>
        </w:tc>
        <w:tc>
          <w:tcPr>
            <w:tcW w:w="1175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tcMar>
              <w:top w:w="85" w:type="dxa"/>
            </w:tcMar>
            <w:vAlign w:val="center"/>
          </w:tcPr>
          <w:p w14:paraId="140A3F57" w14:textId="77777777" w:rsidR="00C17F14" w:rsidRPr="002C5BD9" w:rsidRDefault="00C17F14" w:rsidP="00C17F1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  <w:t>Turnover</w:t>
            </w:r>
          </w:p>
        </w:tc>
        <w:tc>
          <w:tcPr>
            <w:tcW w:w="1174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tcMar>
              <w:top w:w="85" w:type="dxa"/>
            </w:tcMar>
            <w:vAlign w:val="center"/>
          </w:tcPr>
          <w:p w14:paraId="682CB85B" w14:textId="77777777" w:rsidR="00C17F14" w:rsidRPr="002C5BD9" w:rsidRDefault="00C17F14" w:rsidP="00C17F1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  <w:t>A&amp;TSI</w:t>
            </w:r>
          </w:p>
        </w:tc>
        <w:tc>
          <w:tcPr>
            <w:tcW w:w="1175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tcMar>
              <w:top w:w="85" w:type="dxa"/>
            </w:tcMar>
            <w:vAlign w:val="center"/>
          </w:tcPr>
          <w:p w14:paraId="16A96D67" w14:textId="77777777" w:rsidR="00C17F14" w:rsidRPr="002C5BD9" w:rsidRDefault="00C17F14" w:rsidP="00C17F1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</w:pPr>
            <w:r w:rsidRPr="002C5BD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  <w:lang w:eastAsia="en-AU"/>
              </w:rPr>
              <w:t>NESB</w:t>
            </w:r>
          </w:p>
        </w:tc>
      </w:tr>
      <w:tr w:rsidR="00C17F14" w:rsidRPr="002C5BD9" w14:paraId="48D4202E" w14:textId="77777777" w:rsidTr="00C17F14">
        <w:tc>
          <w:tcPr>
            <w:tcW w:w="1550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560145B5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09DC0667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58EE4222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76BEC57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256A538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10D0021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0ACAC0F7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F598871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071675FE" w14:textId="77777777" w:rsidTr="00C17F14">
        <w:tc>
          <w:tcPr>
            <w:tcW w:w="1550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0CE36958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0B4D0646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4F672D7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DA0598E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B985FF3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0FA5AC12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61C6EA41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715B6E7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1BDBFAD5" w14:textId="77777777" w:rsidTr="00C17F14">
        <w:tc>
          <w:tcPr>
            <w:tcW w:w="1550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03B93BFD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743EFA8D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F1EE26B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EE0EBA0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5BC4147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22106B4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080AECEE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6300928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5C015532" w14:textId="77777777" w:rsidTr="00C17F14">
        <w:tc>
          <w:tcPr>
            <w:tcW w:w="1550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613272CD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676B0FDE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14C98FC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295AD26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03206E17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0E2C0F52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B5481A6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03FEAB61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2C5BD9" w14:paraId="7118442D" w14:textId="77777777" w:rsidTr="00C17F14">
        <w:tc>
          <w:tcPr>
            <w:tcW w:w="1550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3A2E3868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FFFFFF" w:themeFill="background1"/>
          </w:tcPr>
          <w:p w14:paraId="1A36AE13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3EC0BC89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030D9F00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3C998490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687F5FAE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79867F1B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37C73A67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AFC6C7B" w14:textId="77777777" w:rsidR="00C17F14" w:rsidRDefault="00C17F14" w:rsidP="00C17F14">
      <w:pPr>
        <w:spacing w:line="240" w:lineRule="auto"/>
        <w:rPr>
          <w:sz w:val="14"/>
        </w:rPr>
      </w:pPr>
    </w:p>
    <w:p w14:paraId="50DA8785" w14:textId="77777777" w:rsidR="00C17F14" w:rsidRDefault="00C17F14" w:rsidP="00C17F14">
      <w:pPr>
        <w:spacing w:line="240" w:lineRule="auto"/>
        <w:rPr>
          <w:sz w:val="14"/>
        </w:rPr>
      </w:pPr>
    </w:p>
    <w:p w14:paraId="6A8DD52D" w14:textId="77777777" w:rsidR="00C17F14" w:rsidRDefault="00C17F14" w:rsidP="00C17F14">
      <w:pPr>
        <w:spacing w:line="240" w:lineRule="auto"/>
        <w:rPr>
          <w:sz w:val="14"/>
        </w:rPr>
      </w:pPr>
    </w:p>
    <w:p w14:paraId="5E3813B6" w14:textId="77777777" w:rsidR="00C17F14" w:rsidRDefault="00C17F14" w:rsidP="00C17F14">
      <w:pPr>
        <w:spacing w:line="240" w:lineRule="auto"/>
        <w:rPr>
          <w:sz w:val="14"/>
        </w:rPr>
      </w:pPr>
    </w:p>
    <w:p w14:paraId="28590A54" w14:textId="77777777" w:rsidR="00C17F14" w:rsidRDefault="00C17F14" w:rsidP="00C17F14">
      <w:pPr>
        <w:spacing w:line="240" w:lineRule="auto"/>
        <w:rPr>
          <w:sz w:val="14"/>
        </w:rPr>
      </w:pPr>
    </w:p>
    <w:p w14:paraId="7AEE10DA" w14:textId="77777777" w:rsidR="00C17F14" w:rsidRDefault="00C17F14" w:rsidP="00C17F14">
      <w:pPr>
        <w:spacing w:line="240" w:lineRule="auto"/>
        <w:rPr>
          <w:sz w:val="14"/>
        </w:rPr>
      </w:pPr>
    </w:p>
    <w:p w14:paraId="1A098152" w14:textId="77777777" w:rsidR="00C17F14" w:rsidRDefault="00C17F14" w:rsidP="00C17F14">
      <w:pPr>
        <w:spacing w:line="240" w:lineRule="auto"/>
        <w:rPr>
          <w:sz w:val="14"/>
        </w:rPr>
      </w:pPr>
    </w:p>
    <w:p w14:paraId="79B2DFA8" w14:textId="5D594683" w:rsidR="00C17F14" w:rsidRDefault="00C17F14" w:rsidP="00C17F14">
      <w:pPr>
        <w:spacing w:line="240" w:lineRule="auto"/>
        <w:rPr>
          <w:sz w:val="14"/>
        </w:rPr>
      </w:pPr>
    </w:p>
    <w:sectPr w:rsidR="00C17F14" w:rsidSect="007A0DE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531" w:right="1531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A711" w14:textId="77777777" w:rsidR="00387839" w:rsidRDefault="00387839" w:rsidP="005655C9">
      <w:pPr>
        <w:spacing w:line="240" w:lineRule="auto"/>
      </w:pPr>
      <w:r>
        <w:separator/>
      </w:r>
    </w:p>
    <w:p w14:paraId="08D520E7" w14:textId="77777777" w:rsidR="00387839" w:rsidRDefault="00387839"/>
    <w:p w14:paraId="735BFCC8" w14:textId="77777777" w:rsidR="00387839" w:rsidRDefault="00387839" w:rsidP="00952B5B"/>
    <w:p w14:paraId="2AFD6DB5" w14:textId="77777777" w:rsidR="00387839" w:rsidRDefault="00387839" w:rsidP="00952B5B"/>
    <w:p w14:paraId="576685B4" w14:textId="77777777" w:rsidR="00387839" w:rsidRDefault="00387839"/>
    <w:p w14:paraId="13243923" w14:textId="77777777" w:rsidR="00387839" w:rsidRDefault="00387839"/>
    <w:p w14:paraId="6FB0B905" w14:textId="77777777" w:rsidR="00387839" w:rsidRDefault="00387839"/>
    <w:p w14:paraId="69B6F5B1" w14:textId="77777777" w:rsidR="00387839" w:rsidRDefault="00387839"/>
  </w:endnote>
  <w:endnote w:type="continuationSeparator" w:id="0">
    <w:p w14:paraId="319457D1" w14:textId="77777777" w:rsidR="00387839" w:rsidRDefault="00387839" w:rsidP="005655C9">
      <w:pPr>
        <w:spacing w:line="240" w:lineRule="auto"/>
      </w:pPr>
      <w:r>
        <w:continuationSeparator/>
      </w:r>
    </w:p>
    <w:p w14:paraId="22F9BE86" w14:textId="77777777" w:rsidR="00387839" w:rsidRDefault="00387839"/>
    <w:p w14:paraId="620EED19" w14:textId="77777777" w:rsidR="00387839" w:rsidRDefault="00387839" w:rsidP="00952B5B"/>
    <w:p w14:paraId="71AAD0CA" w14:textId="77777777" w:rsidR="00387839" w:rsidRDefault="00387839" w:rsidP="00952B5B"/>
    <w:p w14:paraId="4118C720" w14:textId="77777777" w:rsidR="00387839" w:rsidRDefault="00387839"/>
    <w:p w14:paraId="6E9BE645" w14:textId="77777777" w:rsidR="00387839" w:rsidRDefault="00387839"/>
    <w:p w14:paraId="6DDDE87D" w14:textId="77777777" w:rsidR="00387839" w:rsidRDefault="00387839"/>
    <w:p w14:paraId="752CF453" w14:textId="77777777" w:rsidR="00387839" w:rsidRDefault="003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7F5F" w14:textId="6B381436" w:rsidR="00C3613F" w:rsidRDefault="000136BE" w:rsidP="00EB0EA5">
    <w:pPr>
      <w:pStyle w:val="Footer"/>
    </w:pPr>
    <w:sdt>
      <w:sdtPr>
        <w:alias w:val="Title"/>
        <w:tag w:val=""/>
        <w:id w:val="12437666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Benchmarking tool</w:t>
        </w:r>
      </w:sdtContent>
    </w:sdt>
    <w:r w:rsidR="00C3613F">
      <w:t xml:space="preserve"> - </w:t>
    </w:r>
    <w:sdt>
      <w:sdtPr>
        <w:alias w:val="Subject"/>
        <w:tag w:val=""/>
        <w:id w:val="-3578971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Benchmarking tool</w:t>
        </w:r>
      </w:sdtContent>
    </w:sdt>
    <w:r w:rsidR="00C3613F">
      <w:t xml:space="preserve"> </w:t>
    </w:r>
    <w:r w:rsidR="00C3613F">
      <w:ptab w:relativeTo="margin" w:alignment="right" w:leader="none"/>
    </w:r>
    <w:r w:rsidR="00C3613F">
      <w:t xml:space="preserve">Page </w:t>
    </w:r>
    <w:r w:rsidR="007A0DEB"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5C84" w14:textId="1F33022A" w:rsidR="00C3613F" w:rsidRDefault="000136BE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-1615438095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Benchmarking tool</w:t>
        </w:r>
      </w:sdtContent>
    </w:sdt>
    <w:r w:rsidR="00C3613F">
      <w:t xml:space="preserve"> - </w:t>
    </w:r>
    <w:sdt>
      <w:sdtPr>
        <w:alias w:val="Subject"/>
        <w:tag w:val=""/>
        <w:id w:val="-1700546271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Benchmarking tool</w:t>
        </w:r>
      </w:sdtContent>
    </w:sdt>
    <w:r w:rsidR="00C3613F">
      <w:t xml:space="preserve"> </w:t>
    </w:r>
    <w:r w:rsidR="00C3613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2FD4" w14:textId="0BF49BA4" w:rsidR="00C83692" w:rsidRDefault="000136BE" w:rsidP="00EB0EA5">
    <w:pPr>
      <w:pStyle w:val="Footer"/>
    </w:pPr>
    <w:sdt>
      <w:sdtPr>
        <w:alias w:val="Title"/>
        <w:tag w:val=""/>
        <w:id w:val="-15291791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Benchmarking tool</w:t>
        </w:r>
      </w:sdtContent>
    </w:sdt>
    <w:r w:rsidR="00C83692">
      <w:t xml:space="preserve"> - </w:t>
    </w:r>
    <w:sdt>
      <w:sdtPr>
        <w:alias w:val="Subject"/>
        <w:tag w:val=""/>
        <w:id w:val="-7326298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Benchmarking tool</w:t>
        </w:r>
      </w:sdtContent>
    </w:sdt>
    <w:r w:rsidR="00C83692">
      <w:t xml:space="preserve"> </w:t>
    </w:r>
    <w:r w:rsidR="00225F25">
      <w:ptab w:relativeTo="margin" w:alignment="right" w:leader="none"/>
    </w:r>
    <w:r w:rsidR="00225F25">
      <w:t xml:space="preserve">Page </w:t>
    </w:r>
    <w:r w:rsidR="00785EEC">
      <w:t>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2D54" w14:textId="14C39346" w:rsidR="00C83692" w:rsidRDefault="000136BE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409278079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Benchmarking tool</w:t>
        </w:r>
      </w:sdtContent>
    </w:sdt>
    <w:r w:rsidR="00C83692">
      <w:t xml:space="preserve"> - </w:t>
    </w:r>
    <w:sdt>
      <w:sdtPr>
        <w:alias w:val="Subject"/>
        <w:tag w:val=""/>
        <w:id w:val="1311439977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Benchmarking tool</w:t>
        </w:r>
      </w:sdtContent>
    </w:sdt>
    <w:r w:rsidR="00C83692">
      <w:t xml:space="preserve"> </w:t>
    </w:r>
    <w:r w:rsidR="00C83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610A" w14:textId="77777777" w:rsidR="00387839" w:rsidRPr="00DB3896" w:rsidRDefault="00387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7E3D9D83" w14:textId="77777777" w:rsidR="00387839" w:rsidRDefault="00387839"/>
    <w:p w14:paraId="1CD0A57A" w14:textId="77777777" w:rsidR="00387839" w:rsidRDefault="00387839"/>
    <w:p w14:paraId="0B68E89B" w14:textId="77777777" w:rsidR="00387839" w:rsidRDefault="00387839"/>
  </w:footnote>
  <w:footnote w:type="continuationSeparator" w:id="0">
    <w:p w14:paraId="4AD5EB2B" w14:textId="77777777" w:rsidR="00387839" w:rsidRDefault="00387839" w:rsidP="005655C9">
      <w:pPr>
        <w:spacing w:line="240" w:lineRule="auto"/>
      </w:pPr>
      <w:r>
        <w:continuationSeparator/>
      </w:r>
    </w:p>
    <w:p w14:paraId="0BABB03C" w14:textId="77777777" w:rsidR="00387839" w:rsidRDefault="00387839"/>
    <w:p w14:paraId="54949894" w14:textId="77777777" w:rsidR="00387839" w:rsidRDefault="00387839" w:rsidP="00952B5B"/>
    <w:p w14:paraId="63AE5B1A" w14:textId="77777777" w:rsidR="00387839" w:rsidRDefault="00387839" w:rsidP="00952B5B"/>
    <w:p w14:paraId="32E9DF85" w14:textId="77777777" w:rsidR="00387839" w:rsidRDefault="00387839"/>
    <w:p w14:paraId="5130BA72" w14:textId="77777777" w:rsidR="00387839" w:rsidRDefault="00387839"/>
    <w:p w14:paraId="556D8C0B" w14:textId="77777777" w:rsidR="00387839" w:rsidRDefault="00387839"/>
    <w:p w14:paraId="66A259A9" w14:textId="77777777" w:rsidR="00387839" w:rsidRDefault="00387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0DE3" w14:textId="77777777" w:rsidR="00C3613F" w:rsidRPr="00225F25" w:rsidRDefault="00C3613F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CFF451B" wp14:editId="780AEDBA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10" name="Picture 10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0E5CA219" w14:textId="77777777" w:rsidR="00C3613F" w:rsidRDefault="00C361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CA64" w14:textId="77777777" w:rsidR="00C83692" w:rsidRPr="00225F25" w:rsidRDefault="00225F25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49D5578" wp14:editId="62E4A2CD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4" name="Picture 4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6EC15610" w14:textId="77777777" w:rsidR="00C83692" w:rsidRDefault="00C8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5565"/>
    <w:multiLevelType w:val="hybridMultilevel"/>
    <w:tmpl w:val="9E943B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3110EAB"/>
    <w:multiLevelType w:val="hybridMultilevel"/>
    <w:tmpl w:val="D23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B06A21"/>
    <w:multiLevelType w:val="hybridMultilevel"/>
    <w:tmpl w:val="7BDA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EF"/>
    <w:multiLevelType w:val="hybridMultilevel"/>
    <w:tmpl w:val="F2E2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81BF4"/>
    <w:multiLevelType w:val="hybridMultilevel"/>
    <w:tmpl w:val="2CA2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3FD60E0"/>
    <w:multiLevelType w:val="hybridMultilevel"/>
    <w:tmpl w:val="928C8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908B1"/>
    <w:multiLevelType w:val="hybridMultilevel"/>
    <w:tmpl w:val="AF14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380"/>
    <w:multiLevelType w:val="hybridMultilevel"/>
    <w:tmpl w:val="B20AD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633EF"/>
    <w:multiLevelType w:val="hybridMultilevel"/>
    <w:tmpl w:val="1810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092"/>
    <w:multiLevelType w:val="hybridMultilevel"/>
    <w:tmpl w:val="D67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38D5"/>
    <w:multiLevelType w:val="hybridMultilevel"/>
    <w:tmpl w:val="FA94B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E"/>
    <w:rsid w:val="0000006D"/>
    <w:rsid w:val="00002B1B"/>
    <w:rsid w:val="0000330E"/>
    <w:rsid w:val="00004C05"/>
    <w:rsid w:val="000102EE"/>
    <w:rsid w:val="00011ACB"/>
    <w:rsid w:val="000136BE"/>
    <w:rsid w:val="00016271"/>
    <w:rsid w:val="000177FA"/>
    <w:rsid w:val="00020E27"/>
    <w:rsid w:val="00022D7A"/>
    <w:rsid w:val="00022DDB"/>
    <w:rsid w:val="00030AB2"/>
    <w:rsid w:val="000317F2"/>
    <w:rsid w:val="0003774E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529"/>
    <w:rsid w:val="00073919"/>
    <w:rsid w:val="00073925"/>
    <w:rsid w:val="00077EFB"/>
    <w:rsid w:val="00082AE4"/>
    <w:rsid w:val="00082F11"/>
    <w:rsid w:val="0008374B"/>
    <w:rsid w:val="0008671F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1C20"/>
    <w:rsid w:val="000A5480"/>
    <w:rsid w:val="000A5C61"/>
    <w:rsid w:val="000A66BF"/>
    <w:rsid w:val="000A71FA"/>
    <w:rsid w:val="000B2BCA"/>
    <w:rsid w:val="000B72B4"/>
    <w:rsid w:val="000C4228"/>
    <w:rsid w:val="000D0B02"/>
    <w:rsid w:val="000D154F"/>
    <w:rsid w:val="000D31C5"/>
    <w:rsid w:val="000D39E0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25F25"/>
    <w:rsid w:val="002301B6"/>
    <w:rsid w:val="002309A1"/>
    <w:rsid w:val="002315D9"/>
    <w:rsid w:val="002373F8"/>
    <w:rsid w:val="00240836"/>
    <w:rsid w:val="00240897"/>
    <w:rsid w:val="002449FC"/>
    <w:rsid w:val="00245840"/>
    <w:rsid w:val="002479A4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660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CD5"/>
    <w:rsid w:val="003461A3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3DF9"/>
    <w:rsid w:val="0037411B"/>
    <w:rsid w:val="00376393"/>
    <w:rsid w:val="0038642A"/>
    <w:rsid w:val="00387381"/>
    <w:rsid w:val="00387839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191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317B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3EC6"/>
    <w:rsid w:val="00474C27"/>
    <w:rsid w:val="0047576D"/>
    <w:rsid w:val="0048181E"/>
    <w:rsid w:val="00482CC3"/>
    <w:rsid w:val="004831D3"/>
    <w:rsid w:val="00484A97"/>
    <w:rsid w:val="004866E5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7A1"/>
    <w:rsid w:val="004F1C97"/>
    <w:rsid w:val="004F4A08"/>
    <w:rsid w:val="00500A17"/>
    <w:rsid w:val="00501377"/>
    <w:rsid w:val="00505703"/>
    <w:rsid w:val="005138A2"/>
    <w:rsid w:val="00513E2B"/>
    <w:rsid w:val="005205B8"/>
    <w:rsid w:val="00521B45"/>
    <w:rsid w:val="00524A14"/>
    <w:rsid w:val="0052755E"/>
    <w:rsid w:val="005277E7"/>
    <w:rsid w:val="00531475"/>
    <w:rsid w:val="00531752"/>
    <w:rsid w:val="00536EFE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66B11"/>
    <w:rsid w:val="00575D7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57AE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57B2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17E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85EEC"/>
    <w:rsid w:val="00791250"/>
    <w:rsid w:val="00795804"/>
    <w:rsid w:val="0079737D"/>
    <w:rsid w:val="007A0895"/>
    <w:rsid w:val="007A0DEB"/>
    <w:rsid w:val="007A4105"/>
    <w:rsid w:val="007B35BF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D6A2F"/>
    <w:rsid w:val="007E2E42"/>
    <w:rsid w:val="007E350E"/>
    <w:rsid w:val="007E3D08"/>
    <w:rsid w:val="007E6348"/>
    <w:rsid w:val="007E6AB3"/>
    <w:rsid w:val="007E7BA4"/>
    <w:rsid w:val="007F282D"/>
    <w:rsid w:val="007F2BC9"/>
    <w:rsid w:val="007F2DC6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3E30"/>
    <w:rsid w:val="00897DA3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2F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1916"/>
    <w:rsid w:val="00922111"/>
    <w:rsid w:val="009230D6"/>
    <w:rsid w:val="00923E23"/>
    <w:rsid w:val="009248CC"/>
    <w:rsid w:val="00926742"/>
    <w:rsid w:val="009302A2"/>
    <w:rsid w:val="00930FDA"/>
    <w:rsid w:val="00931347"/>
    <w:rsid w:val="009337DB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62D5"/>
    <w:rsid w:val="00AA7264"/>
    <w:rsid w:val="00AA767D"/>
    <w:rsid w:val="00AB1155"/>
    <w:rsid w:val="00AB34FD"/>
    <w:rsid w:val="00AB51C9"/>
    <w:rsid w:val="00AB717A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17F14"/>
    <w:rsid w:val="00C202BD"/>
    <w:rsid w:val="00C230FB"/>
    <w:rsid w:val="00C2449F"/>
    <w:rsid w:val="00C31308"/>
    <w:rsid w:val="00C3613F"/>
    <w:rsid w:val="00C37D90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3692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07EA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1381"/>
    <w:rsid w:val="00D82B75"/>
    <w:rsid w:val="00D851C4"/>
    <w:rsid w:val="00D90EB7"/>
    <w:rsid w:val="00D96285"/>
    <w:rsid w:val="00D96F6C"/>
    <w:rsid w:val="00D97072"/>
    <w:rsid w:val="00DA1A3A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5E17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47CB6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0BAF"/>
    <w:rsid w:val="00ED1EEA"/>
    <w:rsid w:val="00EE0CAC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243B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3061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1DB0D1"/>
  <w14:discardImageEditingData/>
  <w14:defaultImageDpi w14:val="330"/>
  <w15:chartTrackingRefBased/>
  <w15:docId w15:val="{5311072C-3194-4C01-8E90-7381B81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1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29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29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19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rsid w:val="00C17F14"/>
    <w:rPr>
      <w:i/>
      <w:iCs/>
    </w:rPr>
  </w:style>
  <w:style w:type="character" w:styleId="SubtleReference">
    <w:name w:val="Subtle Reference"/>
    <w:basedOn w:val="DefaultParagraphFont"/>
    <w:uiPriority w:val="31"/>
    <w:rsid w:val="00C17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17F1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C17F14"/>
    <w:rPr>
      <w:b/>
      <w:bCs/>
      <w:i/>
      <w:iCs/>
      <w:spacing w:val="5"/>
    </w:rPr>
  </w:style>
  <w:style w:type="paragraph" w:customStyle="1" w:styleId="Title1">
    <w:name w:val="Title 1"/>
    <w:basedOn w:val="Heading1"/>
    <w:autoRedefine/>
    <w:qFormat/>
    <w:rsid w:val="00C17F14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jc w:val="center"/>
      <w:textAlignment w:val="center"/>
      <w:textboxTightWrap w:val="none"/>
    </w:pPr>
    <w:rPr>
      <w:rFonts w:ascii="Arial" w:eastAsia="MS Mincho" w:hAnsi="Arial" w:cs="Arial"/>
      <w:b/>
      <w:color w:val="FFFFFF" w:themeColor="background1"/>
      <w:kern w:val="0"/>
      <w:sz w:val="80"/>
      <w:szCs w:val="56"/>
      <w:lang w:val="en-GB" w:eastAsia="en-AU"/>
      <w14:numSpacing w14:val="default"/>
    </w:rPr>
  </w:style>
  <w:style w:type="paragraph" w:customStyle="1" w:styleId="Title2">
    <w:name w:val="Title 2"/>
    <w:basedOn w:val="Heading2"/>
    <w:autoRedefine/>
    <w:qFormat/>
    <w:rsid w:val="00C17F14"/>
    <w:pPr>
      <w:keepNext w:val="0"/>
      <w:keepLines w:val="0"/>
      <w:spacing w:before="0" w:after="120" w:line="240" w:lineRule="auto"/>
      <w:textboxTightWrap w:val="none"/>
    </w:pPr>
    <w:rPr>
      <w:rFonts w:ascii="Arial" w:eastAsiaTheme="minorHAnsi" w:hAnsi="Arial" w:cs="Arial"/>
      <w:b/>
      <w:bCs/>
      <w:color w:val="CCE29B" w:themeColor="accent5"/>
      <w:kern w:val="0"/>
      <w:sz w:val="36"/>
      <w:szCs w:val="40"/>
      <w:lang w:eastAsia="en-US"/>
      <w14:numSpacing w14:val="default"/>
    </w:rPr>
  </w:style>
  <w:style w:type="paragraph" w:customStyle="1" w:styleId="FooterpageNumber">
    <w:name w:val="Footer page Number"/>
    <w:basedOn w:val="Footer"/>
    <w:rsid w:val="00C17F14"/>
    <w:pPr>
      <w:tabs>
        <w:tab w:val="clear" w:pos="4513"/>
        <w:tab w:val="clear" w:pos="9026"/>
      </w:tabs>
      <w:spacing w:before="0" w:after="0"/>
      <w:jc w:val="right"/>
      <w:textboxTightWrap w:val="none"/>
    </w:pPr>
    <w:rPr>
      <w:rFonts w:ascii="Arial" w:eastAsia="Times New Roman" w:hAnsi="Arial" w:cs="Times New Roman"/>
      <w:b/>
      <w:color w:val="635D63"/>
      <w:kern w:val="0"/>
      <w:szCs w:val="18"/>
      <w:lang w:eastAsia="en-AU"/>
      <w14:numSpacing w14:val="default"/>
    </w:rPr>
  </w:style>
  <w:style w:type="paragraph" w:customStyle="1" w:styleId="Default">
    <w:name w:val="Default"/>
    <w:rsid w:val="00C17F14"/>
    <w:pPr>
      <w:autoSpaceDE w:val="0"/>
      <w:autoSpaceDN w:val="0"/>
      <w:adjustRightInd w:val="0"/>
      <w:spacing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C17F14"/>
    <w:pPr>
      <w:spacing w:line="19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7F14"/>
    <w:pPr>
      <w:spacing w:line="221" w:lineRule="atLeast"/>
    </w:pPr>
    <w:rPr>
      <w:rFonts w:ascii="Brandon Text Bold" w:hAnsi="Brandon Text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7F14"/>
    <w:pPr>
      <w:spacing w:line="191" w:lineRule="atLeast"/>
    </w:pPr>
    <w:rPr>
      <w:rFonts w:ascii="Brandon Text Bold" w:hAnsi="Brandon Text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8D6FCEF6B445F842C4B706E5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3E9-B0CD-4F4E-BA55-566A0CB88047}"/>
      </w:docPartPr>
      <w:docPartBody>
        <w:p w:rsidR="00012148" w:rsidRDefault="00B166B8">
          <w:pPr>
            <w:pStyle w:val="8448D6FCEF6B445F842C4B706E55727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93BF3804794405CAA6ECA10DA0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2477-3EFF-49FC-8E62-779231D71DAF}"/>
      </w:docPartPr>
      <w:docPartBody>
        <w:p w:rsidR="00012148" w:rsidRDefault="00B166B8">
          <w:pPr>
            <w:pStyle w:val="E93BF3804794405CAA6ECA10DA012073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8"/>
    <w:rsid w:val="00012148"/>
    <w:rsid w:val="000E7509"/>
    <w:rsid w:val="00440D59"/>
    <w:rsid w:val="00492884"/>
    <w:rsid w:val="00583F83"/>
    <w:rsid w:val="00646771"/>
    <w:rsid w:val="00653BE8"/>
    <w:rsid w:val="007B431E"/>
    <w:rsid w:val="00880E58"/>
    <w:rsid w:val="00A71DD0"/>
    <w:rsid w:val="00B166B8"/>
    <w:rsid w:val="00D759F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48D6FCEF6B445F842C4B706E55727B">
    <w:name w:val="8448D6FCEF6B445F842C4B706E55727B"/>
  </w:style>
  <w:style w:type="paragraph" w:customStyle="1" w:styleId="E93BF3804794405CAA6ECA10DA012073">
    <w:name w:val="E93BF3804794405CAA6ECA10DA01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38FA5164-0400-434A-829A-B1D0C68B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health workforce planning framework toolkit - Benchmarking tool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workforce planning framework toolkit - Benchmarking tool</dc:title>
  <dc:subject>Toolkit - Benchmarking tool</dc:subject>
  <dc:creator>Workforce Strategy Branch, Queensland Health</dc:creator>
  <cp:keywords/>
  <dc:description/>
  <cp:lastModifiedBy>Karina Millwater</cp:lastModifiedBy>
  <cp:revision>3</cp:revision>
  <cp:lastPrinted>2019-11-22T05:45:00Z</cp:lastPrinted>
  <dcterms:created xsi:type="dcterms:W3CDTF">2020-06-30T07:03:00Z</dcterms:created>
  <dcterms:modified xsi:type="dcterms:W3CDTF">2020-07-01T00:36:00Z</dcterms:modified>
</cp:coreProperties>
</file>