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6971200E" w:rsidR="00C17F14" w:rsidRPr="0099563A" w:rsidRDefault="00785EEC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 xml:space="preserve">Step </w:t>
      </w:r>
      <w:r w:rsidR="00B9303E">
        <w:t>3</w:t>
      </w:r>
      <w:r>
        <w:t>-</w:t>
      </w:r>
      <w:r w:rsidR="00B9303E">
        <w:t>C</w:t>
      </w:r>
      <w:r>
        <w:t xml:space="preserve">: </w:t>
      </w:r>
      <w:bookmarkStart w:id="3" w:name="_GoBack"/>
      <w:r w:rsidR="00B9303E">
        <w:t>Organising the strategies</w:t>
      </w:r>
      <w:bookmarkEnd w:id="0"/>
      <w:bookmarkEnd w:id="1"/>
      <w:bookmarkEnd w:id="2"/>
    </w:p>
    <w:bookmarkEnd w:id="3"/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893E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531" w:header="709" w:footer="709" w:gutter="0"/>
          <w:cols w:space="708"/>
          <w:docGrid w:linePitch="360"/>
        </w:sectPr>
      </w:pPr>
    </w:p>
    <w:p w14:paraId="426810D2" w14:textId="77777777" w:rsidR="00C17F14" w:rsidRDefault="00C17F14" w:rsidP="00C17F14">
      <w:pPr>
        <w:rPr>
          <w:rFonts w:cs="Arial"/>
        </w:rPr>
      </w:pPr>
      <w:r>
        <w:rPr>
          <w:rFonts w:cs="Arial"/>
        </w:rPr>
        <w:t xml:space="preserve">Use this template to set out strategic workforce priorities and strategies. If desired, these may be organised around categories from </w:t>
      </w:r>
      <w:r w:rsidR="00FD3061">
        <w:rPr>
          <w:rFonts w:cs="Arial"/>
        </w:rPr>
        <w:t xml:space="preserve">the </w:t>
      </w:r>
      <w:proofErr w:type="spellStart"/>
      <w:r w:rsidR="00FD3061">
        <w:rPr>
          <w:rFonts w:cs="Arial"/>
        </w:rPr>
        <w:t>organisation’s</w:t>
      </w:r>
      <w:proofErr w:type="spellEnd"/>
      <w:r w:rsidR="00FD3061">
        <w:rPr>
          <w:rFonts w:cs="Arial"/>
        </w:rPr>
        <w:t xml:space="preserve"> </w:t>
      </w:r>
      <w:r>
        <w:rPr>
          <w:rFonts w:cs="Arial"/>
        </w:rPr>
        <w:t>strategic plan, or the focus areas from the Queensland Health ten-year workforce strategy (designing, enabling, and strengthening the workforce, and keeping connected). Importantly, there should be a clear strategic basis for the identification of each as a priority, and the strategic links can be noted in the template. Refer to the example for guidance.</w:t>
      </w:r>
    </w:p>
    <w:p w14:paraId="2D5A2F3E" w14:textId="77777777" w:rsidR="007D6A2F" w:rsidRDefault="007D6A2F" w:rsidP="00C17F14">
      <w:pPr>
        <w:rPr>
          <w:rFonts w:cs="Arial"/>
        </w:rPr>
      </w:pPr>
    </w:p>
    <w:tbl>
      <w:tblPr>
        <w:tblStyle w:val="TableGrid"/>
        <w:tblW w:w="8779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2414"/>
        <w:gridCol w:w="3114"/>
      </w:tblGrid>
      <w:tr w:rsidR="00C17F14" w:rsidRPr="002C5BD9" w14:paraId="7A8D18A6" w14:textId="77777777" w:rsidTr="007D6A2F">
        <w:trPr>
          <w:cantSplit/>
        </w:trPr>
        <w:tc>
          <w:tcPr>
            <w:tcW w:w="8779" w:type="dxa"/>
            <w:gridSpan w:val="3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vAlign w:val="center"/>
          </w:tcPr>
          <w:p w14:paraId="77D32706" w14:textId="77777777" w:rsidR="00C17F14" w:rsidRPr="002C5BD9" w:rsidRDefault="00C17F14" w:rsidP="00C17F14">
            <w:pPr>
              <w:spacing w:before="180" w:after="180" w:line="240" w:lineRule="auto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2C5BD9">
              <w:rPr>
                <w:rFonts w:asciiTheme="minorHAnsi" w:hAnsiTheme="minorHAnsi" w:cstheme="minorHAnsi"/>
                <w:color w:val="FFFFFF" w:themeColor="background1"/>
                <w:sz w:val="28"/>
              </w:rPr>
              <w:t>Priority #</w:t>
            </w:r>
          </w:p>
        </w:tc>
      </w:tr>
      <w:tr w:rsidR="00C17F14" w:rsidRPr="002C5BD9" w14:paraId="6DF5F263" w14:textId="77777777" w:rsidTr="007D6A2F">
        <w:trPr>
          <w:cantSplit/>
          <w:trHeight w:val="12"/>
        </w:trPr>
        <w:tc>
          <w:tcPr>
            <w:tcW w:w="3251" w:type="dxa"/>
            <w:vMerge w:val="restart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auto"/>
            <w:tcMar>
              <w:top w:w="113" w:type="dxa"/>
            </w:tcMar>
          </w:tcPr>
          <w:p w14:paraId="11F781BB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Priority:</w:t>
            </w:r>
          </w:p>
        </w:tc>
        <w:tc>
          <w:tcPr>
            <w:tcW w:w="5528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</w:tcPr>
          <w:p w14:paraId="5F38AC49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Objective:</w:t>
            </w:r>
          </w:p>
          <w:p w14:paraId="1C36660E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7F14" w:rsidRPr="002C5BD9" w14:paraId="26C7359A" w14:textId="77777777" w:rsidTr="007D6A2F">
        <w:trPr>
          <w:cantSplit/>
          <w:trHeight w:val="12"/>
        </w:trPr>
        <w:tc>
          <w:tcPr>
            <w:tcW w:w="3251" w:type="dxa"/>
            <w:vMerge/>
            <w:tcBorders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auto"/>
            <w:tcMar>
              <w:top w:w="113" w:type="dxa"/>
            </w:tcMar>
          </w:tcPr>
          <w:p w14:paraId="0F60AEDD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</w:tcPr>
          <w:p w14:paraId="0B21012C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Strategic Links:</w:t>
            </w:r>
          </w:p>
          <w:p w14:paraId="0C36A0E5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7F14" w:rsidRPr="002C5BD9" w14:paraId="530658C4" w14:textId="77777777" w:rsidTr="007D6A2F">
        <w:trPr>
          <w:cantSplit/>
          <w:trHeight w:val="753"/>
        </w:trPr>
        <w:tc>
          <w:tcPr>
            <w:tcW w:w="5665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vAlign w:val="center"/>
          </w:tcPr>
          <w:p w14:paraId="43602891" w14:textId="77777777" w:rsidR="00C17F14" w:rsidRPr="002C5BD9" w:rsidRDefault="00C17F14" w:rsidP="00C17F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Strategies</w:t>
            </w:r>
          </w:p>
        </w:tc>
        <w:tc>
          <w:tcPr>
            <w:tcW w:w="311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vAlign w:val="center"/>
          </w:tcPr>
          <w:p w14:paraId="5B01116D" w14:textId="77777777" w:rsidR="00C17F14" w:rsidRPr="002C5BD9" w:rsidRDefault="00C17F14" w:rsidP="00C17F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5BD9">
              <w:rPr>
                <w:rFonts w:asciiTheme="minorHAnsi" w:hAnsiTheme="minorHAnsi" w:cstheme="minorHAnsi"/>
                <w:b/>
              </w:rPr>
              <w:t>Performance Indicators</w:t>
            </w:r>
          </w:p>
        </w:tc>
      </w:tr>
      <w:tr w:rsidR="00C17F14" w:rsidRPr="002C5BD9" w14:paraId="3C392FDA" w14:textId="77777777" w:rsidTr="007D6A2F">
        <w:trPr>
          <w:cantSplit/>
          <w:trHeight w:val="567"/>
        </w:trPr>
        <w:tc>
          <w:tcPr>
            <w:tcW w:w="5665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35882CB3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44278C2B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7F14" w:rsidRPr="002C5BD9" w14:paraId="29C447B1" w14:textId="77777777" w:rsidTr="007D6A2F">
        <w:trPr>
          <w:cantSplit/>
          <w:trHeight w:val="567"/>
        </w:trPr>
        <w:tc>
          <w:tcPr>
            <w:tcW w:w="5665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78ED9D0D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4EAEFA47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7F14" w:rsidRPr="002C5BD9" w14:paraId="62262445" w14:textId="77777777" w:rsidTr="007D6A2F">
        <w:trPr>
          <w:cantSplit/>
          <w:trHeight w:val="567"/>
        </w:trPr>
        <w:tc>
          <w:tcPr>
            <w:tcW w:w="5665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69FF193B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7A77D4A8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17F14" w:rsidRPr="002C5BD9" w14:paraId="1DD1B2A1" w14:textId="77777777" w:rsidTr="007D6A2F">
        <w:trPr>
          <w:cantSplit/>
          <w:trHeight w:val="567"/>
        </w:trPr>
        <w:tc>
          <w:tcPr>
            <w:tcW w:w="5665" w:type="dxa"/>
            <w:gridSpan w:val="2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6C4A52FD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vAlign w:val="center"/>
          </w:tcPr>
          <w:p w14:paraId="7A5EB1A3" w14:textId="77777777" w:rsidR="00C17F14" w:rsidRPr="002C5BD9" w:rsidRDefault="00C17F14" w:rsidP="00C17F1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65DC520" w14:textId="79399CA4" w:rsidR="00C17F14" w:rsidRDefault="00C17F14" w:rsidP="007C07CB">
      <w:pPr>
        <w:rPr>
          <w:rFonts w:cs="Arial"/>
        </w:rPr>
      </w:pPr>
    </w:p>
    <w:sectPr w:rsidR="00C17F14" w:rsidSect="00757AD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6EC1E45E" w:rsidR="00C3613F" w:rsidRDefault="00887CDD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Organising the strategies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Organising the strategies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 xml:space="preserve">Page </w:t>
    </w:r>
    <w:r w:rsidR="00B9303E">
      <w:t>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1F925927" w:rsidR="00C3613F" w:rsidRDefault="00887CDD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Organising the strategies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Organising the strategies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6568929D" w:rsidR="00C83692" w:rsidRDefault="00887CDD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Organising the strategies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Organising the strategies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85EEC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309D1241" w:rsidR="00C83692" w:rsidRDefault="00887CDD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Organising the strategies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Organising the strategies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529"/>
    <w:rsid w:val="00073919"/>
    <w:rsid w:val="00073925"/>
    <w:rsid w:val="00077EFB"/>
    <w:rsid w:val="00082AE4"/>
    <w:rsid w:val="00082F11"/>
    <w:rsid w:val="0008374B"/>
    <w:rsid w:val="0008671F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642A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46DCF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5EE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7CB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87CDD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03E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E7A7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4EC3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1D5B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6A71C298-A58A-4BF5-9E57-0DC22BAA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Organising the strategies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Organising the strategies</dc:title>
  <dc:subject>Toolkit - Organising the strategies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2020-06-30T07:04:00Z</dcterms:created>
  <dcterms:modified xsi:type="dcterms:W3CDTF">2020-07-01T00:40:00Z</dcterms:modified>
</cp:coreProperties>
</file>